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-system-inventory-entry"/>
    <w:p>
      <w:pPr>
        <w:pStyle w:val="Heading1"/>
      </w:pPr>
      <w:r>
        <w:t xml:space="preserve">AI System Inventory Entry</w:t>
      </w:r>
    </w:p>
    <w:p>
      <w:pPr>
        <w:pStyle w:val="FirstParagraph"/>
      </w:pPr>
      <w:r>
        <w:t xml:space="preserve">Part of defining your AI management system scope under ISO/IEC 42001 Clause 4.3, and</w:t>
      </w:r>
      <w:r>
        <w:t xml:space="preserve"> </w:t>
      </w:r>
      <w:r>
        <w:t xml:space="preserve">supported by A.4.2 resource documentation. You cannot govern a system you have not</w:t>
      </w:r>
      <w:r>
        <w:t xml:space="preserve"> </w:t>
      </w:r>
      <w:r>
        <w:t xml:space="preserve">written down. Copy this page once per AI system you operate. The multi-system register</w:t>
      </w:r>
      <w:r>
        <w:t xml:space="preserve"> </w:t>
      </w:r>
      <w:r>
        <w:t xml:space="preserve">spreadsheet turns these entries into an estate-wide catalogue.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System ID</w:t>
            </w:r>
          </w:p>
        </w:tc>
        <w:tc>
          <w:tcPr/>
          <w:p>
            <w:pPr>
              <w:pStyle w:val="Compact"/>
            </w:pPr>
            <w:r>
              <w:t xml:space="preserve">AIMS-001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ACME Internal Knowledge Copilot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Accountable owner</w:t>
            </w:r>
          </w:p>
        </w:tc>
        <w:tc>
          <w:tcPr/>
          <w:p>
            <w:pPr>
              <w:pStyle w:val="Compact"/>
            </w:pPr>
            <w:r>
              <w:t xml:space="preserve">Head of Employee Experience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Technical owner</w:t>
            </w:r>
          </w:p>
        </w:tc>
        <w:tc>
          <w:tcPr/>
          <w:p>
            <w:pPr>
              <w:pStyle w:val="Compact"/>
            </w:pPr>
            <w:r>
              <w:t xml:space="preserve">Platform Engineering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</w:pPr>
            <w:r>
              <w:t xml:space="preserve">Operation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 deployed</w:t>
            </w:r>
          </w:p>
        </w:tc>
        <w:tc>
          <w:tcPr/>
          <w:p>
            <w:pPr>
              <w:pStyle w:val="Compact"/>
            </w:pPr>
            <w:r>
              <w:t xml:space="preserve">2026-05-02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Purpose / intended use</w:t>
            </w:r>
          </w:p>
        </w:tc>
        <w:tc>
          <w:tcPr/>
          <w:p>
            <w:pPr>
              <w:pStyle w:val="Compact"/>
            </w:pPr>
            <w:r>
              <w:t xml:space="preserve">Answer employee questions over internal documentation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Prohibited use</w:t>
            </w:r>
          </w:p>
        </w:tc>
        <w:tc>
          <w:tcPr/>
          <w:p>
            <w:pPr>
              <w:pStyle w:val="Compact"/>
            </w:pPr>
            <w:r>
              <w:t xml:space="preserve">Legal, medical, or HR-decision advice; customer-facing use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Users</w:t>
            </w:r>
          </w:p>
        </w:tc>
        <w:tc>
          <w:tcPr/>
          <w:p>
            <w:pPr>
              <w:pStyle w:val="Compact"/>
            </w:pPr>
            <w:r>
              <w:t xml:space="preserve">All employees, with role-based document access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 sources</w:t>
            </w:r>
          </w:p>
        </w:tc>
        <w:tc>
          <w:tcPr/>
          <w:p>
            <w:pPr>
              <w:pStyle w:val="Compact"/>
            </w:pPr>
            <w:r>
              <w:t xml:space="preserve">HR documents, IT FAQ, engineering documents, vendor pages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 classifications handled</w:t>
            </w:r>
          </w:p>
        </w:tc>
        <w:tc>
          <w:tcPr/>
          <w:p>
            <w:pPr>
              <w:pStyle w:val="Compact"/>
            </w:pPr>
            <w:r>
              <w:t xml:space="preserve">Public, Confidential, Personal Data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Personal data processed?</w:t>
            </w:r>
          </w:p>
        </w:tc>
        <w:tc>
          <w:tcPr/>
          <w:p>
            <w:pPr>
              <w:pStyle w:val="Compact"/>
            </w:pPr>
            <w:r>
              <w:t xml:space="preserve">Yes. See DPIA reference below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DPIA reference</w:t>
            </w:r>
          </w:p>
        </w:tc>
        <w:tc>
          <w:tcPr/>
          <w:p>
            <w:pPr>
              <w:pStyle w:val="Compact"/>
            </w:pPr>
            <w:r>
              <w:t xml:space="preserve">DPIA-2026-014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 residency / region</w:t>
            </w:r>
          </w:p>
        </w:tc>
        <w:tc>
          <w:tcPr/>
          <w:p>
            <w:pPr>
              <w:pStyle w:val="Compact"/>
            </w:pPr>
            <w:r>
              <w:t xml:space="preserve">EU (Frankfurt); production endpoint in-region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Model, production</w:t>
            </w:r>
          </w:p>
        </w:tc>
        <w:tc>
          <w:tcPr/>
          <w:p>
            <w:pPr>
              <w:pStyle w:val="Compact"/>
            </w:pPr>
            <w:r>
              <w:t xml:space="preserve">Azure OpenAI</w:t>
            </w:r>
            <w:r>
              <w:t xml:space="preserve"> </w:t>
            </w:r>
            <w:r>
              <w:rPr>
                <w:rStyle w:val="VerbatimChar"/>
              </w:rPr>
              <w:t xml:space="preserve">gpt-4o</w:t>
            </w:r>
            <w:r>
              <w:t xml:space="preserve">, VPC endpoint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Model, lab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qwen3:8b</w:t>
            </w:r>
            <w:r>
              <w:t xml:space="preserve"> </w:t>
            </w:r>
            <w:r>
              <w:t xml:space="preserve">via Ollama, local and offline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Embedding model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nomic-embed-text</w:t>
            </w:r>
            <w:r>
              <w:t xml:space="preserve"> </w:t>
            </w:r>
            <w:r>
              <w:t xml:space="preserve">(lab) /</w:t>
            </w:r>
            <w:r>
              <w:t xml:space="preserve"> </w:t>
            </w:r>
            <w:r>
              <w:rPr>
                <w:rStyle w:val="VerbatimChar"/>
              </w:rPr>
              <w:t xml:space="preserve">text-embedding-3-large</w:t>
            </w:r>
            <w:r>
              <w:t xml:space="preserve"> </w:t>
            </w:r>
            <w:r>
              <w:t xml:space="preserve">(prod)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Vector store</w:t>
            </w:r>
          </w:p>
        </w:tc>
        <w:tc>
          <w:tcPr/>
          <w:p>
            <w:pPr>
              <w:pStyle w:val="Compact"/>
            </w:pPr>
            <w:r>
              <w:t xml:space="preserve">Postgres with pgvector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Tools / actions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send_email</w:t>
            </w:r>
            <w:r>
              <w:t xml:space="preserve">, guarded; external recipients require approval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Human oversight measures</w:t>
            </w:r>
          </w:p>
        </w:tc>
        <w:tc>
          <w:tcPr/>
          <w:p>
            <w:pPr>
              <w:pStyle w:val="Compact"/>
            </w:pPr>
            <w:r>
              <w:t xml:space="preserve">Outward actions need human approval; answers cite sources; refusal on weak evidence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Dependencies / suppliers</w:t>
            </w:r>
          </w:p>
        </w:tc>
        <w:tc>
          <w:tcPr/>
          <w:p>
            <w:pPr>
              <w:pStyle w:val="Compact"/>
            </w:pPr>
            <w:r>
              <w:t xml:space="preserve">Model provider, cloud host. See supplier due-diligence record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Risk tier</w:t>
            </w:r>
          </w:p>
        </w:tc>
        <w:tc>
          <w:tcPr/>
          <w:p>
            <w:pPr>
              <w:pStyle w:val="Compact"/>
            </w:pPr>
            <w:r>
              <w:t xml:space="preserve">High. Handles Confidential and Personal Data and can take an action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EU AI Act classification</w:t>
            </w:r>
          </w:p>
        </w:tc>
        <w:tc>
          <w:tcPr/>
          <w:p>
            <w:pPr>
              <w:pStyle w:val="Compact"/>
            </w:pPr>
            <w:r>
              <w:t xml:space="preserve">Limited risk. Internal productivity tool, not a listed high-risk use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 assessment ref</w:t>
            </w:r>
          </w:p>
        </w:tc>
        <w:tc>
          <w:tcPr/>
          <w:p>
            <w:pPr>
              <w:pStyle w:val="Compact"/>
            </w:pPr>
            <w:r>
              <w:t xml:space="preserve">AIMS-001-AIA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Statement of Applicability ref</w:t>
            </w:r>
          </w:p>
        </w:tc>
        <w:tc>
          <w:tcPr/>
          <w:p>
            <w:pPr>
              <w:pStyle w:val="Compact"/>
            </w:pPr>
            <w:r>
              <w:t xml:space="preserve">SoA-001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Verification evidence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</w:t>
            </w:r>
            <w:r>
              <w:t xml:space="preserve"> </w:t>
            </w:r>
            <w:r>
              <w:t xml:space="preserve">suite, mapped to A.6.2.4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Monitoring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audit_log</w:t>
            </w:r>
            <w:r>
              <w:t xml:space="preserve"> </w:t>
            </w:r>
            <w:r>
              <w:t xml:space="preserve">table; review cadence weekly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Decommissioning plan</w:t>
            </w:r>
          </w:p>
        </w:tc>
        <w:tc>
          <w:tcPr/>
          <w:p>
            <w:pPr>
              <w:pStyle w:val="Compact"/>
            </w:pPr>
            <w:r>
              <w:t xml:space="preserve">Revoke endpoint keys, purge vector store and logs per retention, archive audit trail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Last review</w:t>
            </w:r>
          </w:p>
        </w:tc>
        <w:tc>
          <w:tcPr/>
          <w:p>
            <w:pPr>
              <w:pStyle w:val="Compact"/>
            </w:pPr>
            <w:r>
              <w:t xml:space="preserve">2026-07-17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Next review</w:t>
            </w:r>
          </w:p>
        </w:tc>
        <w:tc>
          <w:tcPr/>
          <w:p>
            <w:pPr>
              <w:pStyle w:val="Compact"/>
            </w:pPr>
            <w:r>
              <w:t xml:space="preserve">2026-10-17</w:t>
            </w:r>
          </w:p>
        </w:tc>
      </w:tr>
    </w:tbl>
    <w:p>
      <w:pPr>
        <w:pStyle w:val="BodyText"/>
      </w:pPr>
      <w:r>
        <w:t xml:space="preserve">Two model rows are deliberate. The lab runs a local model for reproducibility and the</w:t>
      </w:r>
      <w:r>
        <w:t xml:space="preserve"> </w:t>
      </w:r>
      <w:r>
        <w:t xml:space="preserve">production row is what governs the live system. The controls are identical. Only the</w:t>
      </w:r>
      <w:r>
        <w:t xml:space="preserve"> </w:t>
      </w:r>
      <w:r>
        <w:t xml:space="preserve">endpoint changes. Update this entry on any change to the data sources, the tools, the</w:t>
      </w:r>
      <w:r>
        <w:t xml:space="preserve"> </w:t>
      </w:r>
      <w:r>
        <w:t xml:space="preserve">model, or the user population.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2026-07-17T22:41:47Z</dcterms:created>
  <dcterms:modified xsi:type="dcterms:W3CDTF">2026-07-17T22:41:47Z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