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0f2c22cda3509869527a7b87664e49cec7b7a95"/>
    <w:p>
      <w:pPr>
        <w:pStyle w:val="Heading1"/>
      </w:pPr>
      <w:r>
        <w:t xml:space="preserve">Is your RAG copilot governed? A self-assessment</w:t>
      </w:r>
    </w:p>
    <w:p>
      <w:pPr>
        <w:pStyle w:val="FirstParagraph"/>
      </w:pPr>
      <w:r>
        <w:t xml:space="preserve">Fourteen checks you can run against an internal copilot you already operate. Answer each</w:t>
      </w:r>
      <w:r>
        <w:t xml:space="preserve"> </w:t>
      </w:r>
      <w:r>
        <w:t xml:space="preserve">with yes or no honestly, from evidence rather than intention. The scoring band is at the</w:t>
      </w:r>
      <w:r>
        <w:t xml:space="preserve"> </w:t>
      </w:r>
      <w:r>
        <w:t xml:space="preserve">bottom. Each check names the failure or ISO/IEC 42001 reference it maps to, so a "no"</w:t>
      </w:r>
      <w:r>
        <w:t xml:space="preserve"> </w:t>
      </w:r>
      <w:r>
        <w:t xml:space="preserve">tells you exactly what to fix next. An editable spreadsheet version tallies the score for</w:t>
      </w:r>
      <w:r>
        <w:t xml:space="preserve"> </w:t>
      </w:r>
      <w:r>
        <w:t xml:space="preserve">you.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 assessed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Assessor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</w:p>
        </w:tc>
      </w:tr>
    </w:tbl>
    <w:bookmarkStart w:id="9" w:name="access-and-data"/>
    <w:p>
      <w:pPr>
        <w:pStyle w:val="Heading2"/>
      </w:pPr>
      <w:r>
        <w:t xml:space="preserve">Access and data</w:t>
      </w:r>
    </w:p>
    <w:p>
      <w:pPr>
        <w:pStyle w:val="Compact"/>
        <w:numPr>
          <w:ilvl w:val="0"/>
          <w:numId w:val="1001"/>
        </w:numPr>
      </w:pPr>
      <w:r>
        <w:t xml:space="preserve">The copilot enforces the source documents' access permissions at retrieval time, for the specific user asking. (F1, A.7)</w:t>
      </w:r>
    </w:p>
    <w:p>
      <w:pPr>
        <w:pStyle w:val="Compact"/>
        <w:numPr>
          <w:ilvl w:val="0"/>
          <w:numId w:val="1002"/>
        </w:numPr>
      </w:pPr>
      <w:r>
        <w:t xml:space="preserve">You have confirmed by testing that a low-privilege user cannot retrieve a restricted document through the copilot. (F1)</w:t>
      </w:r>
    </w:p>
    <w:p>
      <w:pPr>
        <w:pStyle w:val="Compact"/>
        <w:numPr>
          <w:ilvl w:val="0"/>
          <w:numId w:val="1003"/>
        </w:numPr>
      </w:pPr>
      <w:r>
        <w:t xml:space="preserve">Personal data is detected and redacted before it is embedded into the vector store. (F4, A.7)</w:t>
      </w:r>
    </w:p>
    <w:p>
      <w:pPr>
        <w:pStyle w:val="Compact"/>
        <w:numPr>
          <w:ilvl w:val="0"/>
          <w:numId w:val="1004"/>
        </w:numPr>
      </w:pPr>
      <w:r>
        <w:t xml:space="preserve">Prompts, retrieved chunks, and responses are kept out of logs or redacted, with a defined retention period. (F4, Clause 7.5)</w:t>
      </w:r>
    </w:p>
    <w:bookmarkEnd w:id="9"/>
    <w:bookmarkStart w:id="10" w:name="prompt-and-tools"/>
    <w:p>
      <w:pPr>
        <w:pStyle w:val="Heading2"/>
      </w:pPr>
      <w:r>
        <w:t xml:space="preserve">Prompt and tools</w:t>
      </w:r>
    </w:p>
    <w:p>
      <w:pPr>
        <w:pStyle w:val="Compact"/>
        <w:numPr>
          <w:ilvl w:val="0"/>
          <w:numId w:val="1005"/>
        </w:numPr>
      </w:pPr>
      <w:r>
        <w:t xml:space="preserve">Retrieved content is separated from instructions so the model treats documents as data, not commands. (F2, A.5)</w:t>
      </w:r>
    </w:p>
    <w:p>
      <w:pPr>
        <w:pStyle w:val="Compact"/>
        <w:numPr>
          <w:ilvl w:val="0"/>
          <w:numId w:val="1006"/>
        </w:numPr>
      </w:pPr>
      <w:r>
        <w:t xml:space="preserve">Every tool the copilot can call has an allowlist of permitted actions and, where relevant, recipients. (F2)</w:t>
      </w:r>
    </w:p>
    <w:p>
      <w:pPr>
        <w:pStyle w:val="Compact"/>
        <w:numPr>
          <w:ilvl w:val="0"/>
          <w:numId w:val="1007"/>
        </w:numPr>
      </w:pPr>
      <w:r>
        <w:t xml:space="preserve">Outward actions such as email, API writes, or payments require human approval or hard constraints. (F2)</w:t>
      </w:r>
    </w:p>
    <w:bookmarkEnd w:id="10"/>
    <w:bookmarkStart w:id="11" w:name="answer-quality"/>
    <w:p>
      <w:pPr>
        <w:pStyle w:val="Heading2"/>
      </w:pPr>
      <w:r>
        <w:t xml:space="preserve">Answer quality</w:t>
      </w:r>
    </w:p>
    <w:p>
      <w:pPr>
        <w:pStyle w:val="Compact"/>
        <w:numPr>
          <w:ilvl w:val="0"/>
          <w:numId w:val="1008"/>
        </w:numPr>
      </w:pPr>
      <w:r>
        <w:t xml:space="preserve">The copilot refuses or hedges when retrieval returns no supporting evidence, instead of answering anyway. (F3, A.6.2.4)</w:t>
      </w:r>
    </w:p>
    <w:p>
      <w:pPr>
        <w:pStyle w:val="Compact"/>
        <w:numPr>
          <w:ilvl w:val="0"/>
          <w:numId w:val="1009"/>
        </w:numPr>
      </w:pPr>
      <w:r>
        <w:t xml:space="preserve">You measure a grounding or hallucination rate against a fixed question set whenever the prompt or model changes. (F3, A.6.2.4)</w:t>
      </w:r>
    </w:p>
    <w:bookmarkEnd w:id="11"/>
    <w:bookmarkStart w:id="12" w:name="operation-and-governance"/>
    <w:p>
      <w:pPr>
        <w:pStyle w:val="Heading2"/>
      </w:pPr>
      <w:r>
        <w:t xml:space="preserve">Operation and governance</w:t>
      </w:r>
    </w:p>
    <w:p>
      <w:pPr>
        <w:pStyle w:val="Compact"/>
        <w:numPr>
          <w:ilvl w:val="0"/>
          <w:numId w:val="1010"/>
        </w:numPr>
      </w:pPr>
      <w:r>
        <w:t xml:space="preserve">There is a complete, queryable audit record for every request, capturing user, query, documents used, model, and any tool calls. (F5, A.6.2.8)</w:t>
      </w:r>
    </w:p>
    <w:p>
      <w:pPr>
        <w:pStyle w:val="Compact"/>
        <w:numPr>
          <w:ilvl w:val="0"/>
          <w:numId w:val="1011"/>
        </w:numPr>
      </w:pPr>
      <w:r>
        <w:t xml:space="preserve">The running system is monitored in production with a defined review cadence. (A.6.2.6)</w:t>
      </w:r>
    </w:p>
    <w:p>
      <w:pPr>
        <w:pStyle w:val="Compact"/>
        <w:numPr>
          <w:ilvl w:val="0"/>
          <w:numId w:val="1012"/>
        </w:numPr>
      </w:pPr>
      <w:r>
        <w:t xml:space="preserve">This copilot appears in a documented inventory of AI systems, with a named accountable owner. (Clause 4.3)</w:t>
      </w:r>
    </w:p>
    <w:p>
      <w:pPr>
        <w:pStyle w:val="Compact"/>
        <w:numPr>
          <w:ilvl w:val="0"/>
          <w:numId w:val="1013"/>
        </w:numPr>
      </w:pPr>
      <w:r>
        <w:t xml:space="preserve">An impact assessment has been written for it and is kept current. (A.5)</w:t>
      </w:r>
    </w:p>
    <w:p>
      <w:pPr>
        <w:pStyle w:val="Compact"/>
        <w:numPr>
          <w:ilvl w:val="0"/>
          <w:numId w:val="1014"/>
        </w:numPr>
      </w:pPr>
      <w:r>
        <w:t xml:space="preserve">Verification evidence can be re-run on demand, not just produced once during a review. (A.6.2.4)</w:t>
      </w:r>
    </w:p>
    <w:bookmarkEnd w:id="12"/>
    <w:bookmarkStart w:id="13" w:name="score"/>
    <w:p>
      <w:pPr>
        <w:pStyle w:val="Heading2"/>
      </w:pPr>
      <w:r>
        <w:t xml:space="preserve">Score</w:t>
      </w:r>
    </w:p>
    <w:p>
      <w:pPr>
        <w:pStyle w:val="FirstParagraph"/>
      </w:pPr>
      <w:r>
        <w:t xml:space="preserve">Count your "yes" answers out of fourteen.</w:t>
      </w:r>
    </w:p>
    <w:p>
      <w:pPr>
        <w:pStyle w:val="Compact"/>
        <w:numPr>
          <w:ilvl w:val="0"/>
          <w:numId w:val="1015"/>
        </w:numPr>
      </w:pPr>
      <w:r>
        <w:t xml:space="preserve">12 to 14, governed. The controls are in place and evidenced. Keep the verification running and review on a cadence.</w:t>
      </w:r>
    </w:p>
    <w:p>
      <w:pPr>
        <w:pStyle w:val="Compact"/>
        <w:numPr>
          <w:ilvl w:val="0"/>
          <w:numId w:val="1015"/>
        </w:numPr>
      </w:pPr>
      <w:r>
        <w:t xml:space="preserve">7 to 11, partially governed. The system has real gaps. Treat every "no" as a scoped task and close the access and tool gaps first, since those carry the highest impact.</w:t>
      </w:r>
    </w:p>
    <w:p>
      <w:pPr>
        <w:pStyle w:val="Compact"/>
        <w:numPr>
          <w:ilvl w:val="0"/>
          <w:numId w:val="1015"/>
        </w:numPr>
      </w:pPr>
      <w:r>
        <w:t xml:space="preserve">0 to 6, ungoverned. Treat this as an open incident waiting to happen and start with the access filter and the audit trail this week.</w:t>
      </w:r>
    </w:p>
    <w:bookmarkEnd w:id="13"/>
    <w:bookmarkStart w:id="14" w:name="X1d5ad2aea3fc72b2cc9fb6a0b17b2a3c77284e8"/>
    <w:p>
      <w:pPr>
        <w:pStyle w:val="Heading2"/>
      </w:pPr>
      <w:r>
        <w:t xml:space="preserve">What the bands mean for your next quarter</w:t>
      </w:r>
    </w:p>
    <w:p>
      <w:pPr>
        <w:pStyle w:val="FirstParagraph"/>
      </w:pPr>
      <w:r>
        <w:t xml:space="preserve">A score in the top band means your work shifts from building controls to sustaining them,</w:t>
      </w:r>
      <w:r>
        <w:t xml:space="preserve"> </w:t>
      </w:r>
      <w:r>
        <w:t xml:space="preserve">so the priority becomes monitoring, periodic review, and keeping the inventory and impact</w:t>
      </w:r>
      <w:r>
        <w:t xml:space="preserve"> </w:t>
      </w:r>
      <w:r>
        <w:t xml:space="preserve">assessment current as the system changes. The middle band means you have started but the</w:t>
      </w:r>
      <w:r>
        <w:t xml:space="preserve"> </w:t>
      </w:r>
      <w:r>
        <w:t xml:space="preserve">system is not yet defensible, and the fastest way up is to close the access and logging</w:t>
      </w:r>
      <w:r>
        <w:t xml:space="preserve"> </w:t>
      </w:r>
      <w:r>
        <w:t xml:space="preserve">gaps, because those are the controls an auditor and an incident responder both look for</w:t>
      </w:r>
      <w:r>
        <w:t xml:space="preserve"> </w:t>
      </w:r>
      <w:r>
        <w:t xml:space="preserve">first. The bottom band means the system is effectively ungoverned, and the honest move is</w:t>
      </w:r>
      <w:r>
        <w:t xml:space="preserve"> </w:t>
      </w:r>
      <w:r>
        <w:t xml:space="preserve">to treat it that way, limit its blast radius until the access filter and the audit trail</w:t>
      </w:r>
      <w:r>
        <w:t xml:space="preserve"> </w:t>
      </w:r>
      <w:r>
        <w:t xml:space="preserve">are in place, and reassess once they are.</w:t>
      </w:r>
    </w:p>
    <w:p>
      <w:pPr>
        <w:pStyle w:val="BodyText"/>
      </w:pPr>
      <w:r>
        <w:t xml:space="preserve">The runnable lab this checklist comes from lets you watch each of these failures happen</w:t>
      </w:r>
      <w:r>
        <w:t xml:space="preserve"> </w:t>
      </w:r>
      <w:r>
        <w:t xml:space="preserve">and then stop, so if any answer above is uncertain, reproduce it there before you decide.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2026-07-17T22:41:47Z</dcterms:created>
  <dcterms:modified xsi:type="dcterms:W3CDTF">2026-07-17T22:41:47Z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