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pPr>
      <w:r>
        <w:rPr>
          <w:rFonts w:ascii="Calibri" w:hAnsi="Calibri"/>
          <w:b/>
          <w:color w:val="4F46E5"/>
          <w:sz w:val="17"/>
        </w:rPr>
        <w:t>AI GOVERNANCE · ISO/IEC 42001</w:t>
      </w:r>
    </w:p>
    <w:p>
      <w:pPr>
        <w:spacing w:after="40"/>
      </w:pPr>
      <w:r>
        <w:rPr>
          <w:b/>
          <w:color w:val="17141F"/>
          <w:sz w:val="40"/>
        </w:rPr>
        <w:t>Control to Channel Map — Prompt Injection</w:t>
      </w:r>
    </w:p>
    <w:p>
      <w:pPr>
        <w:spacing w:after="200"/>
      </w:pPr>
      <w:r>
        <w:rPr>
          <w:i/>
          <w:color w:val="6A6478"/>
          <w:sz w:val="21"/>
        </w:rPr>
        <w:t>Every door untrusted content comes through, the failure it carries, the control that addresses it, where it lives, and the test that proves it.</w:t>
      </w:r>
    </w:p>
    <w:tbl>
      <w:tblPr>
        <w:tblStyle w:val="TableGrid"/>
        <w:tblW w:type="auto" w:w="0"/>
        <w:jc w:val="center"/>
        <w:tblLook w:firstColumn="1" w:firstRow="1" w:lastColumn="0" w:lastRow="0" w:noHBand="0" w:noVBand="1" w:val="04A0"/>
      </w:tblPr>
      <w:tblGrid>
        <w:gridCol w:w="1728"/>
        <w:gridCol w:w="1728"/>
        <w:gridCol w:w="1728"/>
        <w:gridCol w:w="1728"/>
        <w:gridCol w:w="1728"/>
      </w:tblGrid>
      <w:tr>
        <w:tc>
          <w:tcPr>
            <w:tcW w:type="dxa" w:w="1584"/>
            <w:shd w:val="clear" w:fill="4F46E5"/>
          </w:tcPr>
          <w:p>
            <w:r>
              <w:rPr>
                <w:b/>
                <w:color w:val="FFFFFF"/>
                <w:sz w:val="19"/>
              </w:rPr>
              <w:t>Channel</w:t>
            </w:r>
          </w:p>
        </w:tc>
        <w:tc>
          <w:tcPr>
            <w:tcW w:type="dxa" w:w="2448"/>
            <w:shd w:val="clear" w:fill="4F46E5"/>
          </w:tcPr>
          <w:p>
            <w:r>
              <w:rPr>
                <w:b/>
                <w:color w:val="FFFFFF"/>
                <w:sz w:val="19"/>
              </w:rPr>
              <w:t>Failure when ungoverned</w:t>
            </w:r>
          </w:p>
        </w:tc>
        <w:tc>
          <w:tcPr>
            <w:tcW w:type="dxa" w:w="1728"/>
            <w:shd w:val="clear" w:fill="4F46E5"/>
          </w:tcPr>
          <w:p>
            <w:r>
              <w:rPr>
                <w:b/>
                <w:color w:val="FFFFFF"/>
                <w:sz w:val="19"/>
              </w:rPr>
              <w:t>ISO/IEC 42001</w:t>
            </w:r>
          </w:p>
        </w:tc>
        <w:tc>
          <w:tcPr>
            <w:tcW w:type="dxa" w:w="1872"/>
            <w:shd w:val="clear" w:fill="4F46E5"/>
          </w:tcPr>
          <w:p>
            <w:r>
              <w:rPr>
                <w:b/>
                <w:color w:val="FFFFFF"/>
                <w:sz w:val="19"/>
              </w:rPr>
              <w:t>Implementation</w:t>
            </w:r>
          </w:p>
        </w:tc>
        <w:tc>
          <w:tcPr>
            <w:tcW w:type="dxa" w:w="2160"/>
            <w:shd w:val="clear" w:fill="4F46E5"/>
          </w:tcPr>
          <w:p>
            <w:r>
              <w:rPr>
                <w:b/>
                <w:color w:val="FFFFFF"/>
                <w:sz w:val="19"/>
              </w:rPr>
              <w:t>Verified by</w:t>
            </w:r>
          </w:p>
        </w:tc>
      </w:tr>
      <w:tr>
        <w:tc>
          <w:tcPr>
            <w:tcW w:type="dxa" w:w="1584"/>
          </w:tcPr>
          <w:p>
            <w:r>
              <w:rPr>
                <w:b/>
                <w:color w:val="17141F"/>
                <w:sz w:val="19"/>
              </w:rPr>
              <w:t>Customer ticket</w:t>
            </w:r>
          </w:p>
        </w:tc>
        <w:tc>
          <w:tcPr>
            <w:tcW w:type="dxa" w:w="2448"/>
          </w:tcPr>
          <w:p>
            <w:r>
              <w:rPr>
                <w:color w:val="17141F"/>
                <w:sz w:val="19"/>
              </w:rPr>
              <w:t>Words in the ticket obeyed as instructions</w:t>
            </w:r>
          </w:p>
        </w:tc>
        <w:tc>
          <w:tcPr>
            <w:tcW w:type="dxa" w:w="1728"/>
          </w:tcPr>
          <w:p>
            <w:r>
              <w:rPr>
                <w:color w:val="17141F"/>
                <w:sz w:val="19"/>
              </w:rPr>
              <w:t>A.5 impact assessment</w:t>
            </w:r>
          </w:p>
        </w:tc>
        <w:tc>
          <w:tcPr>
            <w:tcW w:type="dxa" w:w="1872"/>
          </w:tcPr>
          <w:p>
            <w:r>
              <w:rPr>
                <w:color w:val="17141F"/>
                <w:sz w:val="19"/>
              </w:rPr>
              <w:t>provenance_fence.py</w:t>
            </w:r>
          </w:p>
        </w:tc>
        <w:tc>
          <w:tcPr>
            <w:tcW w:type="dxa" w:w="2160"/>
          </w:tcPr>
          <w:p>
            <w:r>
              <w:rPr>
                <w:color w:val="17141F"/>
                <w:sz w:val="19"/>
              </w:rPr>
              <w:t>test_p1_provenance_fence.py</w:t>
            </w:r>
          </w:p>
        </w:tc>
      </w:tr>
      <w:tr>
        <w:tc>
          <w:tcPr>
            <w:tcW w:type="dxa" w:w="1584"/>
          </w:tcPr>
          <w:p>
            <w:r>
              <w:rPr>
                <w:b/>
                <w:color w:val="17141F"/>
                <w:sz w:val="19"/>
              </w:rPr>
              <w:t>Retrieved KB article</w:t>
            </w:r>
          </w:p>
        </w:tc>
        <w:tc>
          <w:tcPr>
            <w:tcW w:type="dxa" w:w="2448"/>
          </w:tcPr>
          <w:p>
            <w:r>
              <w:rPr>
                <w:color w:val="17141F"/>
                <w:sz w:val="19"/>
              </w:rPr>
              <w:t>Payload hidden in a retrieved document</w:t>
            </w:r>
          </w:p>
        </w:tc>
        <w:tc>
          <w:tcPr>
            <w:tcW w:type="dxa" w:w="1728"/>
          </w:tcPr>
          <w:p>
            <w:r>
              <w:rPr>
                <w:color w:val="17141F"/>
                <w:sz w:val="19"/>
              </w:rPr>
              <w:t>A.7.4 data quality</w:t>
            </w:r>
          </w:p>
        </w:tc>
        <w:tc>
          <w:tcPr>
            <w:tcW w:type="dxa" w:w="1872"/>
          </w:tcPr>
          <w:p>
            <w:r>
              <w:rPr>
                <w:color w:val="17141F"/>
                <w:sz w:val="19"/>
              </w:rPr>
              <w:t>retrieval_sanitizer.py</w:t>
            </w:r>
          </w:p>
        </w:tc>
        <w:tc>
          <w:tcPr>
            <w:tcW w:type="dxa" w:w="2160"/>
          </w:tcPr>
          <w:p>
            <w:r>
              <w:rPr>
                <w:color w:val="17141F"/>
                <w:sz w:val="19"/>
              </w:rPr>
              <w:t>test_p2_retrieval_sanitizer.py</w:t>
            </w:r>
          </w:p>
        </w:tc>
      </w:tr>
      <w:tr>
        <w:tc>
          <w:tcPr>
            <w:tcW w:type="dxa" w:w="1584"/>
          </w:tcPr>
          <w:p>
            <w:r>
              <w:rPr>
                <w:b/>
                <w:color w:val="17141F"/>
                <w:sz w:val="19"/>
              </w:rPr>
              <w:t>Fetched web page</w:t>
            </w:r>
          </w:p>
        </w:tc>
        <w:tc>
          <w:tcPr>
            <w:tcW w:type="dxa" w:w="2448"/>
          </w:tcPr>
          <w:p>
            <w:r>
              <w:rPr>
                <w:color w:val="17141F"/>
                <w:sz w:val="19"/>
              </w:rPr>
              <w:t>Tool output hijacks the assistant</w:t>
            </w:r>
          </w:p>
        </w:tc>
        <w:tc>
          <w:tcPr>
            <w:tcW w:type="dxa" w:w="1728"/>
          </w:tcPr>
          <w:p>
            <w:r>
              <w:rPr>
                <w:color w:val="17141F"/>
                <w:sz w:val="19"/>
              </w:rPr>
              <w:t>A.5 impact assessment</w:t>
            </w:r>
          </w:p>
        </w:tc>
        <w:tc>
          <w:tcPr>
            <w:tcW w:type="dxa" w:w="1872"/>
          </w:tcPr>
          <w:p>
            <w:r>
              <w:rPr>
                <w:color w:val="17141F"/>
                <w:sz w:val="19"/>
              </w:rPr>
              <w:t>tool_output_isolation.py</w:t>
            </w:r>
          </w:p>
        </w:tc>
        <w:tc>
          <w:tcPr>
            <w:tcW w:type="dxa" w:w="2160"/>
          </w:tcPr>
          <w:p>
            <w:r>
              <w:rPr>
                <w:color w:val="17141F"/>
                <w:sz w:val="19"/>
              </w:rPr>
              <w:t>test_p3_tool_output_isolation.py</w:t>
            </w:r>
          </w:p>
        </w:tc>
      </w:tr>
      <w:tr>
        <w:tc>
          <w:tcPr>
            <w:tcW w:type="dxa" w:w="1584"/>
          </w:tcPr>
          <w:p>
            <w:r>
              <w:rPr>
                <w:b/>
                <w:color w:val="17141F"/>
                <w:sz w:val="19"/>
              </w:rPr>
              <w:t>Any outbound tool</w:t>
            </w:r>
          </w:p>
        </w:tc>
        <w:tc>
          <w:tcPr>
            <w:tcW w:type="dxa" w:w="2448"/>
          </w:tcPr>
          <w:p>
            <w:r>
              <w:rPr>
                <w:color w:val="17141F"/>
                <w:sz w:val="19"/>
              </w:rPr>
              <w:t>A convinced assistant exfiltrates or overspends</w:t>
            </w:r>
          </w:p>
        </w:tc>
        <w:tc>
          <w:tcPr>
            <w:tcW w:type="dxa" w:w="1728"/>
          </w:tcPr>
          <w:p>
            <w:r>
              <w:rPr>
                <w:color w:val="17141F"/>
                <w:sz w:val="19"/>
              </w:rPr>
              <w:t>A.9.4 intended use</w:t>
            </w:r>
          </w:p>
        </w:tc>
        <w:tc>
          <w:tcPr>
            <w:tcW w:type="dxa" w:w="1872"/>
          </w:tcPr>
          <w:p>
            <w:r>
              <w:rPr>
                <w:color w:val="17141F"/>
                <w:sz w:val="19"/>
              </w:rPr>
              <w:t>egress_containment.py</w:t>
            </w:r>
          </w:p>
        </w:tc>
        <w:tc>
          <w:tcPr>
            <w:tcW w:type="dxa" w:w="2160"/>
          </w:tcPr>
          <w:p>
            <w:r>
              <w:rPr>
                <w:color w:val="17141F"/>
                <w:sz w:val="19"/>
              </w:rPr>
              <w:t>test_p4_egress_containment.py</w:t>
            </w:r>
          </w:p>
        </w:tc>
      </w:tr>
      <w:tr>
        <w:tc>
          <w:tcPr>
            <w:tcW w:type="dxa" w:w="1584"/>
          </w:tcPr>
          <w:p>
            <w:r>
              <w:rPr>
                <w:b/>
                <w:color w:val="17141F"/>
                <w:sz w:val="19"/>
              </w:rPr>
              <w:t>Every channel</w:t>
            </w:r>
          </w:p>
        </w:tc>
        <w:tc>
          <w:tcPr>
            <w:tcW w:type="dxa" w:w="2448"/>
          </w:tcPr>
          <w:p>
            <w:r>
              <w:rPr>
                <w:color w:val="17141F"/>
                <w:sz w:val="19"/>
              </w:rPr>
              <w:t>The attempt is never recorded</w:t>
            </w:r>
          </w:p>
        </w:tc>
        <w:tc>
          <w:tcPr>
            <w:tcW w:type="dxa" w:w="1728"/>
          </w:tcPr>
          <w:p>
            <w:r>
              <w:rPr>
                <w:color w:val="17141F"/>
                <w:sz w:val="19"/>
              </w:rPr>
              <w:t>A.6.2.8 event logs</w:t>
            </w:r>
          </w:p>
        </w:tc>
        <w:tc>
          <w:tcPr>
            <w:tcW w:type="dxa" w:w="1872"/>
          </w:tcPr>
          <w:p>
            <w:r>
              <w:rPr>
                <w:color w:val="17141F"/>
                <w:sz w:val="19"/>
              </w:rPr>
              <w:t>injection_audit.py</w:t>
            </w:r>
          </w:p>
        </w:tc>
        <w:tc>
          <w:tcPr>
            <w:tcW w:type="dxa" w:w="2160"/>
          </w:tcPr>
          <w:p>
            <w:r>
              <w:rPr>
                <w:color w:val="17141F"/>
                <w:sz w:val="19"/>
              </w:rPr>
              <w:t>test_p5_injection_audit.py</w:t>
            </w:r>
          </w:p>
        </w:tc>
      </w:tr>
    </w:tbl>
    <w:p>
      <w:pPr>
        <w:spacing w:before="200" w:after="80"/>
      </w:pPr>
      <w:r>
        <w:rPr>
          <w:b/>
          <w:color w:val="17141F"/>
          <w:sz w:val="26"/>
        </w:rPr>
        <w:t>Why the last column matters most</w:t>
      </w:r>
    </w:p>
    <w:p>
      <w:pPr>
        <w:spacing w:after="120"/>
      </w:pPr>
      <w:r>
        <w:rPr>
          <w:color w:val="17141F"/>
          <w:sz w:val="21"/>
        </w:rPr>
        <w:t>The first three layers are soft. They reduce how often the model is fooled, but a model can be argued with, so they cannot be relied on alone. The fourth layer assumes they failed and constrains what a fooled model can do. The fifth records every attempt. Defence in depth is the design, and test_defense_in_depth.py asserts it directly: with only the ticket fence on, the knowledge-base and web channels still deliver their payload.</w:t>
      </w:r>
    </w:p>
    <w:p>
      <w:pPr>
        <w:spacing w:before="200" w:after="80"/>
      </w:pPr>
      <w:r>
        <w:rPr>
          <w:b/>
          <w:color w:val="17141F"/>
          <w:sz w:val="26"/>
        </w:rPr>
        <w:t>How to reproduce each row</w:t>
      </w:r>
    </w:p>
    <w:p>
      <w:pPr>
        <w:spacing w:after="120"/>
      </w:pPr>
      <w:r>
        <w:rPr>
          <w:color w:val="17141F"/>
          <w:sz w:val="21"/>
        </w:rPr>
        <w:t>Ungoverned, meaning GOVERNED=false, reproduces the failure. Governed, meaning GOVERNED=true, engages every layer. Prove any single row in isolation with a per-control flag, for example GOVERNED=false with CONTROL_EGRESS_CONTAINMENT=on. The full suite, run with docker compose exec app pytest, asserts both states for every row, and that suite is the A.6.2.4 verification evidence for the system.</w:t>
      </w:r>
    </w:p>
    <w:p>
      <w:pPr>
        <w:spacing w:before="200" w:after="80"/>
      </w:pPr>
      <w:r>
        <w:rPr>
          <w:b/>
          <w:color w:val="17141F"/>
          <w:sz w:val="26"/>
        </w:rPr>
        <w:t>The choke point</w:t>
      </w:r>
    </w:p>
    <w:p>
      <w:pPr>
        <w:spacing w:after="120"/>
      </w:pPr>
      <w:r>
        <w:rPr>
          <w:color w:val="17141F"/>
          <w:sz w:val="21"/>
        </w:rPr>
        <w:t>Every tool call passes through one function, tools/actions.py, before it touches the world or returns text to the model. The reading tools are sanitised and isolated there, the reaching tools are contained there, and every attempt and action is logged there. The model decides what to try. This is where the system decides what is allowed to happen.</w:t>
      </w:r>
    </w:p>
    <w:p/>
    <w:p>
      <w:r>
        <w:rPr>
          <w:i/>
          <w:color w:val="6A6478"/>
          <w:sz w:val="17"/>
        </w:rPr>
        <w:t>Voryntel  ·  AI Assurance &amp; Governance  ·  Companion artifact to “Governing Prompt Injection: ISO/IEC 42001 When You Cannot Trust What the Model Reads.”  Editable; adapt to your own system.</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color w:val="17141F"/>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