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Calibri" w:hAnsi="Calibri"/>
          <w:b/>
          <w:color w:val="4F46E5"/>
          <w:sz w:val="17"/>
        </w:rPr>
        <w:t>AI GOVERNANCE · ISO/IEC 42001 A.5</w:t>
      </w:r>
    </w:p>
    <w:p>
      <w:pPr>
        <w:spacing w:after="40"/>
      </w:pPr>
      <w:r>
        <w:rPr>
          <w:b/>
          <w:color w:val="17141F"/>
          <w:sz w:val="40"/>
        </w:rPr>
        <w:t>AI System Impact Assessment — Support Assistant</w:t>
      </w:r>
    </w:p>
    <w:p>
      <w:pPr>
        <w:spacing w:after="200"/>
      </w:pPr>
      <w:r>
        <w:rPr>
          <w:i/>
          <w:color w:val="6A6478"/>
          <w:sz w:val="21"/>
        </w:rPr>
        <w:t>AIMS-003-AIA. Weighted toward the way untrusted content reaches a system that can act.</w:t>
      </w:r>
    </w:p>
    <w:p>
      <w:pPr>
        <w:spacing w:before="200" w:after="80"/>
      </w:pPr>
      <w:r>
        <w:rPr>
          <w:b/>
          <w:color w:val="17141F"/>
          <w:sz w:val="26"/>
        </w:rPr>
        <w:t>1. System and intended use</w:t>
      </w:r>
    </w:p>
    <w:p>
      <w:pPr>
        <w:spacing w:after="120"/>
      </w:pPr>
      <w:r>
        <w:rPr>
          <w:color w:val="17141F"/>
          <w:sz w:val="21"/>
        </w:rPr>
        <w:t>An assistant that reads customer tickets, searches an internal knowledge base, fetches carrier tracking pages, and can email customers and issue refunds. Intended use is handling routine order questions. Everything it reads is drawn from sources a customer or an outsider can influence.</w:t>
      </w:r>
    </w:p>
    <w:p>
      <w:pPr>
        <w:spacing w:before="200" w:after="80"/>
      </w:pPr>
      <w:r>
        <w:rPr>
          <w:b/>
          <w:color w:val="17141F"/>
          <w:sz w:val="26"/>
        </w:rPr>
        <w:t>2. What can go wrong</w:t>
      </w:r>
    </w:p>
    <w:p>
      <w:pPr>
        <w:spacing w:after="120"/>
      </w:pPr>
      <w:r>
        <w:rPr>
          <w:color w:val="17141F"/>
          <w:sz w:val="21"/>
        </w:rPr>
        <w:t>The assistant blurs the line between data and instructions. Content it ingests can carry commands, and two of its tools reach outside the company. The material harms are money leaving through an unbounded refund and customer data leaving through mail to an outside address. Both can be triggered without the operator ever asking for them.</w:t>
      </w:r>
    </w:p>
    <w:p>
      <w:pPr>
        <w:spacing w:before="200" w:after="80"/>
      </w:pPr>
      <w:r>
        <w:rPr>
          <w:b/>
          <w:color w:val="17141F"/>
          <w:sz w:val="26"/>
        </w:rPr>
        <w:t>3. Affected parties</w:t>
      </w:r>
    </w:p>
    <w:p>
      <w:pPr>
        <w:spacing w:after="120"/>
      </w:pPr>
      <w:r>
        <w:rPr>
          <w:color w:val="17141F"/>
          <w:sz w:val="21"/>
        </w:rPr>
        <w:t>Customers, whose account data can be exfiltrated. The business, which carries the financial loss and the breach. The operator, who is accountable for actions the assistant took on its own.</w:t>
      </w:r>
    </w:p>
    <w:p>
      <w:pPr>
        <w:spacing w:before="200" w:after="80"/>
      </w:pPr>
      <w:r>
        <w:rPr>
          <w:b/>
          <w:color w:val="17141F"/>
          <w:sz w:val="26"/>
        </w:rPr>
        <w:t>4. Likelihood</w:t>
      </w:r>
    </w:p>
    <w:p>
      <w:pPr>
        <w:spacing w:after="120"/>
      </w:pPr>
      <w:r>
        <w:rPr>
          <w:color w:val="17141F"/>
          <w:sz w:val="21"/>
        </w:rPr>
        <w:t>High and rising. Indirect injection through retrieved documents and fetched pages needs no access to the system, only the ability to place text where the assistant will read it.</w:t>
      </w:r>
    </w:p>
    <w:p>
      <w:pPr>
        <w:spacing w:before="200" w:after="80"/>
      </w:pPr>
      <w:r>
        <w:rPr>
          <w:b/>
          <w:color w:val="17141F"/>
          <w:sz w:val="26"/>
        </w:rPr>
        <w:t>5. Blast radius and the treatment</w:t>
      </w:r>
    </w:p>
    <w:p>
      <w:pPr>
        <w:spacing w:after="120"/>
      </w:pPr>
      <w:r>
        <w:rPr>
          <w:color w:val="17141F"/>
          <w:sz w:val="21"/>
        </w:rPr>
        <w:t>The impact is set by what a fooled assistant can do, not by how often it is fooled. The treatment is layered: fence the ticket, sanitise retrieval, isolate tool output, contain the outbound tools, and log every attempt. The containment layer is the floor. Even a fully convinced assistant cannot mail data outside acme.corp or refund above the autonomous limit.</w:t>
      </w:r>
    </w:p>
    <w:p>
      <w:pPr>
        <w:spacing w:before="200" w:after="80"/>
      </w:pPr>
      <w:r>
        <w:rPr>
          <w:b/>
          <w:color w:val="17141F"/>
          <w:sz w:val="26"/>
        </w:rPr>
        <w:t>6. Residual risk</w:t>
      </w:r>
    </w:p>
    <w:p>
      <w:pPr>
        <w:spacing w:after="120"/>
      </w:pPr>
      <w:r>
        <w:rPr>
          <w:color w:val="17141F"/>
          <w:sz w:val="21"/>
        </w:rPr>
        <w:t>The soft layers can be talked around, so the residual risk after treatment sits mostly on the containment and audit layers. A new outbound tool added without a matching containment rule reopens the blast radius, so any change to the tool set reopens this assessment.</w:t>
      </w:r>
    </w:p>
    <w:p>
      <w:pPr>
        <w:spacing w:before="200" w:after="80"/>
      </w:pPr>
      <w:r>
        <w:rPr>
          <w:b/>
          <w:color w:val="17141F"/>
          <w:sz w:val="26"/>
        </w:rPr>
        <w:t>Scoring summary</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592"/>
            <w:shd w:val="clear" w:fill="4F46E5"/>
          </w:tcPr>
          <w:p>
            <w:r>
              <w:rPr>
                <w:b/>
                <w:color w:val="FFFFFF"/>
                <w:sz w:val="19"/>
              </w:rPr>
              <w:t>Channel</w:t>
            </w:r>
          </w:p>
        </w:tc>
        <w:tc>
          <w:tcPr>
            <w:tcW w:type="dxa" w:w="1584"/>
            <w:shd w:val="clear" w:fill="4F46E5"/>
          </w:tcPr>
          <w:p>
            <w:r>
              <w:rPr>
                <w:b/>
                <w:color w:val="FFFFFF"/>
                <w:sz w:val="19"/>
              </w:rPr>
              <w:t>Reversible</w:t>
            </w:r>
          </w:p>
        </w:tc>
        <w:tc>
          <w:tcPr>
            <w:tcW w:type="dxa" w:w="3024"/>
            <w:shd w:val="clear" w:fill="4F46E5"/>
          </w:tcPr>
          <w:p>
            <w:r>
              <w:rPr>
                <w:b/>
                <w:color w:val="FFFFFF"/>
                <w:sz w:val="19"/>
              </w:rPr>
              <w:t>Blast radius</w:t>
            </w:r>
          </w:p>
        </w:tc>
        <w:tc>
          <w:tcPr>
            <w:tcW w:type="dxa" w:w="2592"/>
            <w:shd w:val="clear" w:fill="4F46E5"/>
          </w:tcPr>
          <w:p>
            <w:r>
              <w:rPr>
                <w:b/>
                <w:color w:val="FFFFFF"/>
                <w:sz w:val="19"/>
              </w:rPr>
              <w:t>Primary control</w:t>
            </w:r>
          </w:p>
        </w:tc>
      </w:tr>
      <w:tr>
        <w:tc>
          <w:tcPr>
            <w:tcW w:type="dxa" w:w="2592"/>
          </w:tcPr>
          <w:p>
            <w:r>
              <w:rPr>
                <w:b/>
                <w:color w:val="17141F"/>
                <w:sz w:val="19"/>
              </w:rPr>
              <w:t>Ticket payload</w:t>
            </w:r>
          </w:p>
        </w:tc>
        <w:tc>
          <w:tcPr>
            <w:tcW w:type="dxa" w:w="1584"/>
          </w:tcPr>
          <w:p>
            <w:r>
              <w:rPr>
                <w:color w:val="17141F"/>
                <w:sz w:val="19"/>
              </w:rPr>
              <w:t>n/a (input)</w:t>
            </w:r>
          </w:p>
        </w:tc>
        <w:tc>
          <w:tcPr>
            <w:tcW w:type="dxa" w:w="3024"/>
          </w:tcPr>
          <w:p>
            <w:r>
              <w:rPr>
                <w:color w:val="17141F"/>
                <w:sz w:val="19"/>
              </w:rPr>
              <w:t>Sets up every action below</w:t>
            </w:r>
          </w:p>
        </w:tc>
        <w:tc>
          <w:tcPr>
            <w:tcW w:type="dxa" w:w="2592"/>
          </w:tcPr>
          <w:p>
            <w:r>
              <w:rPr>
                <w:color w:val="17141F"/>
                <w:sz w:val="19"/>
              </w:rPr>
              <w:t>Provenance fence (A.5)</w:t>
            </w:r>
          </w:p>
        </w:tc>
      </w:tr>
      <w:tr>
        <w:tc>
          <w:tcPr>
            <w:tcW w:type="dxa" w:w="2592"/>
          </w:tcPr>
          <w:p>
            <w:r>
              <w:rPr>
                <w:b/>
                <w:color w:val="17141F"/>
                <w:sz w:val="19"/>
              </w:rPr>
              <w:t>Retrieved article payload</w:t>
            </w:r>
          </w:p>
        </w:tc>
        <w:tc>
          <w:tcPr>
            <w:tcW w:type="dxa" w:w="1584"/>
          </w:tcPr>
          <w:p>
            <w:r>
              <w:rPr>
                <w:color w:val="17141F"/>
                <w:sz w:val="19"/>
              </w:rPr>
              <w:t>n/a (input)</w:t>
            </w:r>
          </w:p>
        </w:tc>
        <w:tc>
          <w:tcPr>
            <w:tcW w:type="dxa" w:w="3024"/>
          </w:tcPr>
          <w:p>
            <w:r>
              <w:rPr>
                <w:color w:val="17141F"/>
                <w:sz w:val="19"/>
              </w:rPr>
              <w:t>Steers action silently</w:t>
            </w:r>
          </w:p>
        </w:tc>
        <w:tc>
          <w:tcPr>
            <w:tcW w:type="dxa" w:w="2592"/>
          </w:tcPr>
          <w:p>
            <w:r>
              <w:rPr>
                <w:color w:val="17141F"/>
                <w:sz w:val="19"/>
              </w:rPr>
              <w:t>Retrieval sanitiser (A.7.4)</w:t>
            </w:r>
          </w:p>
        </w:tc>
      </w:tr>
      <w:tr>
        <w:tc>
          <w:tcPr>
            <w:tcW w:type="dxa" w:w="2592"/>
          </w:tcPr>
          <w:p>
            <w:r>
              <w:rPr>
                <w:b/>
                <w:color w:val="17141F"/>
                <w:sz w:val="19"/>
              </w:rPr>
              <w:t>Fetched page payload</w:t>
            </w:r>
          </w:p>
        </w:tc>
        <w:tc>
          <w:tcPr>
            <w:tcW w:type="dxa" w:w="1584"/>
          </w:tcPr>
          <w:p>
            <w:r>
              <w:rPr>
                <w:color w:val="17141F"/>
                <w:sz w:val="19"/>
              </w:rPr>
              <w:t>n/a (input)</w:t>
            </w:r>
          </w:p>
        </w:tc>
        <w:tc>
          <w:tcPr>
            <w:tcW w:type="dxa" w:w="3024"/>
          </w:tcPr>
          <w:p>
            <w:r>
              <w:rPr>
                <w:color w:val="17141F"/>
                <w:sz w:val="19"/>
              </w:rPr>
              <w:t>Steers action silently</w:t>
            </w:r>
          </w:p>
        </w:tc>
        <w:tc>
          <w:tcPr>
            <w:tcW w:type="dxa" w:w="2592"/>
          </w:tcPr>
          <w:p>
            <w:r>
              <w:rPr>
                <w:color w:val="17141F"/>
                <w:sz w:val="19"/>
              </w:rPr>
              <w:t>Tool-output isolation (A.5)</w:t>
            </w:r>
          </w:p>
        </w:tc>
      </w:tr>
      <w:tr>
        <w:tc>
          <w:tcPr>
            <w:tcW w:type="dxa" w:w="2592"/>
          </w:tcPr>
          <w:p>
            <w:r>
              <w:rPr>
                <w:b/>
                <w:color w:val="17141F"/>
                <w:sz w:val="19"/>
              </w:rPr>
              <w:t>Exfiltration email</w:t>
            </w:r>
          </w:p>
        </w:tc>
        <w:tc>
          <w:tcPr>
            <w:tcW w:type="dxa" w:w="1584"/>
          </w:tcPr>
          <w:p>
            <w:r>
              <w:rPr>
                <w:color w:val="17141F"/>
                <w:sz w:val="19"/>
              </w:rPr>
              <w:t>No</w:t>
            </w:r>
          </w:p>
        </w:tc>
        <w:tc>
          <w:tcPr>
            <w:tcW w:type="dxa" w:w="3024"/>
          </w:tcPr>
          <w:p>
            <w:r>
              <w:rPr>
                <w:color w:val="17141F"/>
                <w:sz w:val="19"/>
              </w:rPr>
              <w:t>High: customer data leaves</w:t>
            </w:r>
          </w:p>
        </w:tc>
        <w:tc>
          <w:tcPr>
            <w:tcW w:type="dxa" w:w="2592"/>
          </w:tcPr>
          <w:p>
            <w:r>
              <w:rPr>
                <w:color w:val="17141F"/>
                <w:sz w:val="19"/>
              </w:rPr>
              <w:t>Egress containment (A.9.4)</w:t>
            </w:r>
          </w:p>
        </w:tc>
      </w:tr>
      <w:tr>
        <w:tc>
          <w:tcPr>
            <w:tcW w:type="dxa" w:w="2592"/>
          </w:tcPr>
          <w:p>
            <w:r>
              <w:rPr>
                <w:b/>
                <w:color w:val="17141F"/>
                <w:sz w:val="19"/>
              </w:rPr>
              <w:t>Oversized refund</w:t>
            </w:r>
          </w:p>
        </w:tc>
        <w:tc>
          <w:tcPr>
            <w:tcW w:type="dxa" w:w="1584"/>
          </w:tcPr>
          <w:p>
            <w:r>
              <w:rPr>
                <w:color w:val="17141F"/>
                <w:sz w:val="19"/>
              </w:rPr>
              <w:t>No</w:t>
            </w:r>
          </w:p>
        </w:tc>
        <w:tc>
          <w:tcPr>
            <w:tcW w:type="dxa" w:w="3024"/>
          </w:tcPr>
          <w:p>
            <w:r>
              <w:rPr>
                <w:color w:val="17141F"/>
                <w:sz w:val="19"/>
              </w:rPr>
              <w:t>High: money leaves</w:t>
            </w:r>
          </w:p>
        </w:tc>
        <w:tc>
          <w:tcPr>
            <w:tcW w:type="dxa" w:w="2592"/>
          </w:tcPr>
          <w:p>
            <w:r>
              <w:rPr>
                <w:color w:val="17141F"/>
                <w:sz w:val="19"/>
              </w:rPr>
              <w:t>Egress containment (A.9.4)</w:t>
            </w:r>
          </w:p>
        </w:tc>
      </w:tr>
    </w:tbl>
    <w:p/>
    <w:p>
      <w:r>
        <w:rPr>
          <w:i/>
          <w:color w:val="6A6478"/>
          <w:sz w:val="17"/>
        </w:rPr>
        <w:t>Voryntel  ·  AI Assurance &amp; Governance  ·  Companion artifact to “Governing Prompt Injection: ISO/IEC 42001 When You Cannot Trust What the Model Reads.”  Editable; adapt to your own system.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17141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