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Calibri" w:hAnsi="Calibri"/>
          <w:b/>
          <w:color w:val="4F46E5"/>
          <w:sz w:val="17"/>
        </w:rPr>
        <w:t>AI GOVERNANCE · ISO/IEC 42001</w:t>
      </w:r>
    </w:p>
    <w:p>
      <w:pPr>
        <w:spacing w:after="40"/>
      </w:pPr>
      <w:r>
        <w:rPr>
          <w:b/>
          <w:color w:val="17141F"/>
          <w:sz w:val="40"/>
        </w:rPr>
        <w:t>Prompt Injection Self-Assessment</w:t>
      </w:r>
    </w:p>
    <w:p>
      <w:pPr>
        <w:spacing w:after="200"/>
      </w:pPr>
      <w:r>
        <w:rPr>
          <w:i/>
          <w:color w:val="6A6478"/>
          <w:sz w:val="21"/>
        </w:rPr>
        <w:t>Twelve checks across the five layers. Score each 0 for no, 1 for partial, 2 for yes. The spreadsheet version totals and bands the score for you.</w:t>
      </w:r>
    </w:p>
    <w:tbl>
      <w:tblPr>
        <w:tblStyle w:val="TableGrid"/>
        <w:tblW w:type="auto" w:w="0"/>
        <w:jc w:val="center"/>
        <w:tblLook w:firstColumn="1" w:firstRow="1" w:lastColumn="0" w:lastRow="0" w:noHBand="0" w:noVBand="1" w:val="04A0"/>
      </w:tblPr>
      <w:tblGrid>
        <w:gridCol w:w="2160"/>
        <w:gridCol w:w="2160"/>
        <w:gridCol w:w="2160"/>
        <w:gridCol w:w="2160"/>
      </w:tblGrid>
      <w:tr>
        <w:tc>
          <w:tcPr>
            <w:tcW w:type="dxa" w:w="576"/>
            <w:shd w:val="clear" w:fill="4F46E5"/>
          </w:tcPr>
          <w:p>
            <w:r>
              <w:rPr>
                <w:b/>
                <w:color w:val="FFFFFF"/>
                <w:sz w:val="19"/>
              </w:rPr>
              <w:t>#</w:t>
            </w:r>
          </w:p>
        </w:tc>
        <w:tc>
          <w:tcPr>
            <w:tcW w:type="dxa" w:w="1872"/>
            <w:shd w:val="clear" w:fill="4F46E5"/>
          </w:tcPr>
          <w:p>
            <w:r>
              <w:rPr>
                <w:b/>
                <w:color w:val="FFFFFF"/>
                <w:sz w:val="19"/>
              </w:rPr>
              <w:t>Layer</w:t>
            </w:r>
          </w:p>
        </w:tc>
        <w:tc>
          <w:tcPr>
            <w:tcW w:type="dxa" w:w="6336"/>
            <w:shd w:val="clear" w:fill="4F46E5"/>
          </w:tcPr>
          <w:p>
            <w:r>
              <w:rPr>
                <w:b/>
                <w:color w:val="FFFFFF"/>
                <w:sz w:val="19"/>
              </w:rPr>
              <w:t>Check</w:t>
            </w:r>
          </w:p>
        </w:tc>
        <w:tc>
          <w:tcPr>
            <w:tcW w:type="dxa" w:w="1440"/>
            <w:shd w:val="clear" w:fill="4F46E5"/>
          </w:tcPr>
          <w:p>
            <w:r>
              <w:rPr>
                <w:b/>
                <w:color w:val="FFFFFF"/>
                <w:sz w:val="19"/>
              </w:rPr>
              <w:t>Score (0/1/2)</w:t>
            </w:r>
          </w:p>
        </w:tc>
      </w:tr>
      <w:tr>
        <w:tc>
          <w:tcPr>
            <w:tcW w:type="dxa" w:w="576"/>
          </w:tcPr>
          <w:p>
            <w:r>
              <w:rPr>
                <w:b/>
                <w:color w:val="17141F"/>
                <w:sz w:val="19"/>
              </w:rPr>
              <w:t>1</w:t>
            </w:r>
          </w:p>
        </w:tc>
        <w:tc>
          <w:tcPr>
            <w:tcW w:type="dxa" w:w="1872"/>
          </w:tcPr>
          <w:p>
            <w:r>
              <w:rPr>
                <w:color w:val="17141F"/>
                <w:sz w:val="19"/>
              </w:rPr>
              <w:t>Input provenance</w:t>
            </w:r>
          </w:p>
        </w:tc>
        <w:tc>
          <w:tcPr>
            <w:tcW w:type="dxa" w:w="6336"/>
          </w:tcPr>
          <w:p>
            <w:r>
              <w:rPr>
                <w:color w:val="17141F"/>
                <w:sz w:val="19"/>
              </w:rPr>
              <w:t>Content from users and customers is tagged as untrusted before it reaches the model.</w:t>
            </w:r>
          </w:p>
        </w:tc>
        <w:tc>
          <w:tcPr>
            <w:tcW w:type="dxa" w:w="1440"/>
          </w:tcPr>
          <w:p>
            <w:r>
              <w:rPr>
                <w:color w:val="17141F"/>
                <w:sz w:val="19"/>
              </w:rPr>
            </w:r>
          </w:p>
        </w:tc>
      </w:tr>
      <w:tr>
        <w:tc>
          <w:tcPr>
            <w:tcW w:type="dxa" w:w="576"/>
          </w:tcPr>
          <w:p>
            <w:r>
              <w:rPr>
                <w:b/>
                <w:color w:val="17141F"/>
                <w:sz w:val="19"/>
              </w:rPr>
              <w:t>2</w:t>
            </w:r>
          </w:p>
        </w:tc>
        <w:tc>
          <w:tcPr>
            <w:tcW w:type="dxa" w:w="1872"/>
          </w:tcPr>
          <w:p>
            <w:r>
              <w:rPr>
                <w:color w:val="17141F"/>
                <w:sz w:val="19"/>
              </w:rPr>
              <w:t>Input provenance</w:t>
            </w:r>
          </w:p>
        </w:tc>
        <w:tc>
          <w:tcPr>
            <w:tcW w:type="dxa" w:w="6336"/>
          </w:tcPr>
          <w:p>
            <w:r>
              <w:rPr>
                <w:color w:val="17141F"/>
                <w:sz w:val="19"/>
              </w:rPr>
              <w:t>Untrusted input is fenced or delimited so the model is told to read it as data and not obey it.</w:t>
            </w:r>
          </w:p>
        </w:tc>
        <w:tc>
          <w:tcPr>
            <w:tcW w:type="dxa" w:w="1440"/>
          </w:tcPr>
          <w:p>
            <w:r>
              <w:rPr>
                <w:color w:val="17141F"/>
                <w:sz w:val="19"/>
              </w:rPr>
            </w:r>
          </w:p>
        </w:tc>
      </w:tr>
      <w:tr>
        <w:tc>
          <w:tcPr>
            <w:tcW w:type="dxa" w:w="576"/>
          </w:tcPr>
          <w:p>
            <w:r>
              <w:rPr>
                <w:b/>
                <w:color w:val="17141F"/>
                <w:sz w:val="19"/>
              </w:rPr>
              <w:t>3</w:t>
            </w:r>
          </w:p>
        </w:tc>
        <w:tc>
          <w:tcPr>
            <w:tcW w:type="dxa" w:w="1872"/>
          </w:tcPr>
          <w:p>
            <w:r>
              <w:rPr>
                <w:color w:val="17141F"/>
                <w:sz w:val="19"/>
              </w:rPr>
              <w:t>Retrieval</w:t>
            </w:r>
          </w:p>
        </w:tc>
        <w:tc>
          <w:tcPr>
            <w:tcW w:type="dxa" w:w="6336"/>
          </w:tcPr>
          <w:p>
            <w:r>
              <w:rPr>
                <w:color w:val="17141F"/>
                <w:sz w:val="19"/>
              </w:rPr>
              <w:t>Retrieved documents are sanitised for instruction-like content before the model uses them.</w:t>
            </w:r>
          </w:p>
        </w:tc>
        <w:tc>
          <w:tcPr>
            <w:tcW w:type="dxa" w:w="1440"/>
          </w:tcPr>
          <w:p>
            <w:r>
              <w:rPr>
                <w:color w:val="17141F"/>
                <w:sz w:val="19"/>
              </w:rPr>
            </w:r>
          </w:p>
        </w:tc>
      </w:tr>
      <w:tr>
        <w:tc>
          <w:tcPr>
            <w:tcW w:type="dxa" w:w="576"/>
          </w:tcPr>
          <w:p>
            <w:r>
              <w:rPr>
                <w:b/>
                <w:color w:val="17141F"/>
                <w:sz w:val="19"/>
              </w:rPr>
              <w:t>4</w:t>
            </w:r>
          </w:p>
        </w:tc>
        <w:tc>
          <w:tcPr>
            <w:tcW w:type="dxa" w:w="1872"/>
          </w:tcPr>
          <w:p>
            <w:r>
              <w:rPr>
                <w:color w:val="17141F"/>
                <w:sz w:val="19"/>
              </w:rPr>
              <w:t>Retrieval</w:t>
            </w:r>
          </w:p>
        </w:tc>
        <w:tc>
          <w:tcPr>
            <w:tcW w:type="dxa" w:w="6336"/>
          </w:tcPr>
          <w:p>
            <w:r>
              <w:rPr>
                <w:color w:val="17141F"/>
                <w:sz w:val="19"/>
              </w:rPr>
              <w:t>Retrieved content is clearly separated from your own system instructions.</w:t>
            </w:r>
          </w:p>
        </w:tc>
        <w:tc>
          <w:tcPr>
            <w:tcW w:type="dxa" w:w="1440"/>
          </w:tcPr>
          <w:p>
            <w:r>
              <w:rPr>
                <w:color w:val="17141F"/>
                <w:sz w:val="19"/>
              </w:rPr>
            </w:r>
          </w:p>
        </w:tc>
      </w:tr>
      <w:tr>
        <w:tc>
          <w:tcPr>
            <w:tcW w:type="dxa" w:w="576"/>
          </w:tcPr>
          <w:p>
            <w:r>
              <w:rPr>
                <w:b/>
                <w:color w:val="17141F"/>
                <w:sz w:val="19"/>
              </w:rPr>
              <w:t>5</w:t>
            </w:r>
          </w:p>
        </w:tc>
        <w:tc>
          <w:tcPr>
            <w:tcW w:type="dxa" w:w="1872"/>
          </w:tcPr>
          <w:p>
            <w:r>
              <w:rPr>
                <w:color w:val="17141F"/>
                <w:sz w:val="19"/>
              </w:rPr>
              <w:t>Tool output</w:t>
            </w:r>
          </w:p>
        </w:tc>
        <w:tc>
          <w:tcPr>
            <w:tcW w:type="dxa" w:w="6336"/>
          </w:tcPr>
          <w:p>
            <w:r>
              <w:rPr>
                <w:color w:val="17141F"/>
                <w:sz w:val="19"/>
              </w:rPr>
              <w:t>Output from tools and fetched pages is treated as untrusted data, not as new instructions.</w:t>
            </w:r>
          </w:p>
        </w:tc>
        <w:tc>
          <w:tcPr>
            <w:tcW w:type="dxa" w:w="1440"/>
          </w:tcPr>
          <w:p>
            <w:r>
              <w:rPr>
                <w:color w:val="17141F"/>
                <w:sz w:val="19"/>
              </w:rPr>
            </w:r>
          </w:p>
        </w:tc>
      </w:tr>
      <w:tr>
        <w:tc>
          <w:tcPr>
            <w:tcW w:type="dxa" w:w="576"/>
          </w:tcPr>
          <w:p>
            <w:r>
              <w:rPr>
                <w:b/>
                <w:color w:val="17141F"/>
                <w:sz w:val="19"/>
              </w:rPr>
              <w:t>6</w:t>
            </w:r>
          </w:p>
        </w:tc>
        <w:tc>
          <w:tcPr>
            <w:tcW w:type="dxa" w:w="1872"/>
          </w:tcPr>
          <w:p>
            <w:r>
              <w:rPr>
                <w:color w:val="17141F"/>
                <w:sz w:val="19"/>
              </w:rPr>
              <w:t>Tool output</w:t>
            </w:r>
          </w:p>
        </w:tc>
        <w:tc>
          <w:tcPr>
            <w:tcW w:type="dxa" w:w="6336"/>
          </w:tcPr>
          <w:p>
            <w:r>
              <w:rPr>
                <w:color w:val="17141F"/>
                <w:sz w:val="19"/>
              </w:rPr>
              <w:t>Tool output cannot introduce commands that the model then acts on.</w:t>
            </w:r>
          </w:p>
        </w:tc>
        <w:tc>
          <w:tcPr>
            <w:tcW w:type="dxa" w:w="1440"/>
          </w:tcPr>
          <w:p>
            <w:r>
              <w:rPr>
                <w:color w:val="17141F"/>
                <w:sz w:val="19"/>
              </w:rPr>
            </w:r>
          </w:p>
        </w:tc>
      </w:tr>
      <w:tr>
        <w:tc>
          <w:tcPr>
            <w:tcW w:type="dxa" w:w="576"/>
          </w:tcPr>
          <w:p>
            <w:r>
              <w:rPr>
                <w:b/>
                <w:color w:val="17141F"/>
                <w:sz w:val="19"/>
              </w:rPr>
              <w:t>7</w:t>
            </w:r>
          </w:p>
        </w:tc>
        <w:tc>
          <w:tcPr>
            <w:tcW w:type="dxa" w:w="1872"/>
          </w:tcPr>
          <w:p>
            <w:r>
              <w:rPr>
                <w:color w:val="17141F"/>
                <w:sz w:val="19"/>
              </w:rPr>
              <w:t>Containment</w:t>
            </w:r>
          </w:p>
        </w:tc>
        <w:tc>
          <w:tcPr>
            <w:tcW w:type="dxa" w:w="6336"/>
          </w:tcPr>
          <w:p>
            <w:r>
              <w:rPr>
                <w:color w:val="17141F"/>
                <w:sz w:val="19"/>
              </w:rPr>
              <w:t>Outbound actions such as email, payments, and external calls are restricted by allowlist or ceiling regardless of what the model decides.</w:t>
            </w:r>
          </w:p>
        </w:tc>
        <w:tc>
          <w:tcPr>
            <w:tcW w:type="dxa" w:w="1440"/>
          </w:tcPr>
          <w:p>
            <w:r>
              <w:rPr>
                <w:color w:val="17141F"/>
                <w:sz w:val="19"/>
              </w:rPr>
            </w:r>
          </w:p>
        </w:tc>
      </w:tr>
      <w:tr>
        <w:tc>
          <w:tcPr>
            <w:tcW w:type="dxa" w:w="576"/>
          </w:tcPr>
          <w:p>
            <w:r>
              <w:rPr>
                <w:b/>
                <w:color w:val="17141F"/>
                <w:sz w:val="19"/>
              </w:rPr>
              <w:t>8</w:t>
            </w:r>
          </w:p>
        </w:tc>
        <w:tc>
          <w:tcPr>
            <w:tcW w:type="dxa" w:w="1872"/>
          </w:tcPr>
          <w:p>
            <w:r>
              <w:rPr>
                <w:color w:val="17141F"/>
                <w:sz w:val="19"/>
              </w:rPr>
              <w:t>Containment</w:t>
            </w:r>
          </w:p>
        </w:tc>
        <w:tc>
          <w:tcPr>
            <w:tcW w:type="dxa" w:w="6336"/>
          </w:tcPr>
          <w:p>
            <w:r>
              <w:rPr>
                <w:color w:val="17141F"/>
                <w:sz w:val="19"/>
              </w:rPr>
              <w:t>Any irreversible or high-value action requires a human before it runs.</w:t>
            </w:r>
          </w:p>
        </w:tc>
        <w:tc>
          <w:tcPr>
            <w:tcW w:type="dxa" w:w="1440"/>
          </w:tcPr>
          <w:p>
            <w:r>
              <w:rPr>
                <w:color w:val="17141F"/>
                <w:sz w:val="19"/>
              </w:rPr>
            </w:r>
          </w:p>
        </w:tc>
      </w:tr>
      <w:tr>
        <w:tc>
          <w:tcPr>
            <w:tcW w:type="dxa" w:w="576"/>
          </w:tcPr>
          <w:p>
            <w:r>
              <w:rPr>
                <w:b/>
                <w:color w:val="17141F"/>
                <w:sz w:val="19"/>
              </w:rPr>
              <w:t>9</w:t>
            </w:r>
          </w:p>
        </w:tc>
        <w:tc>
          <w:tcPr>
            <w:tcW w:type="dxa" w:w="1872"/>
          </w:tcPr>
          <w:p>
            <w:r>
              <w:rPr>
                <w:color w:val="17141F"/>
                <w:sz w:val="19"/>
              </w:rPr>
              <w:t>Audit</w:t>
            </w:r>
          </w:p>
        </w:tc>
        <w:tc>
          <w:tcPr>
            <w:tcW w:type="dxa" w:w="6336"/>
          </w:tcPr>
          <w:p>
            <w:r>
              <w:rPr>
                <w:color w:val="17141F"/>
                <w:sz w:val="19"/>
              </w:rPr>
              <w:t>Suspected injection attempts are detected and logged with their source.</w:t>
            </w:r>
          </w:p>
        </w:tc>
        <w:tc>
          <w:tcPr>
            <w:tcW w:type="dxa" w:w="1440"/>
          </w:tcPr>
          <w:p>
            <w:r>
              <w:rPr>
                <w:color w:val="17141F"/>
                <w:sz w:val="19"/>
              </w:rPr>
            </w:r>
          </w:p>
        </w:tc>
      </w:tr>
      <w:tr>
        <w:tc>
          <w:tcPr>
            <w:tcW w:type="dxa" w:w="576"/>
          </w:tcPr>
          <w:p>
            <w:r>
              <w:rPr>
                <w:b/>
                <w:color w:val="17141F"/>
                <w:sz w:val="19"/>
              </w:rPr>
              <w:t>10</w:t>
            </w:r>
          </w:p>
        </w:tc>
        <w:tc>
          <w:tcPr>
            <w:tcW w:type="dxa" w:w="1872"/>
          </w:tcPr>
          <w:p>
            <w:r>
              <w:rPr>
                <w:color w:val="17141F"/>
                <w:sz w:val="19"/>
              </w:rPr>
              <w:t>Audit</w:t>
            </w:r>
          </w:p>
        </w:tc>
        <w:tc>
          <w:tcPr>
            <w:tcW w:type="dxa" w:w="6336"/>
          </w:tcPr>
          <w:p>
            <w:r>
              <w:rPr>
                <w:color w:val="17141F"/>
                <w:sz w:val="19"/>
              </w:rPr>
              <w:t>Every tool call is logged with its arguments and its outcome, blocked included.</w:t>
            </w:r>
          </w:p>
        </w:tc>
        <w:tc>
          <w:tcPr>
            <w:tcW w:type="dxa" w:w="1440"/>
          </w:tcPr>
          <w:p>
            <w:r>
              <w:rPr>
                <w:color w:val="17141F"/>
                <w:sz w:val="19"/>
              </w:rPr>
            </w:r>
          </w:p>
        </w:tc>
      </w:tr>
      <w:tr>
        <w:tc>
          <w:tcPr>
            <w:tcW w:type="dxa" w:w="576"/>
          </w:tcPr>
          <w:p>
            <w:r>
              <w:rPr>
                <w:b/>
                <w:color w:val="17141F"/>
                <w:sz w:val="19"/>
              </w:rPr>
              <w:t>11</w:t>
            </w:r>
          </w:p>
        </w:tc>
        <w:tc>
          <w:tcPr>
            <w:tcW w:type="dxa" w:w="1872"/>
          </w:tcPr>
          <w:p>
            <w:r>
              <w:rPr>
                <w:color w:val="17141F"/>
                <w:sz w:val="19"/>
              </w:rPr>
              <w:t>Programme</w:t>
            </w:r>
          </w:p>
        </w:tc>
        <w:tc>
          <w:tcPr>
            <w:tcW w:type="dxa" w:w="6336"/>
          </w:tcPr>
          <w:p>
            <w:r>
              <w:rPr>
                <w:color w:val="17141F"/>
                <w:sz w:val="19"/>
              </w:rPr>
              <w:t>Each AI system is inventoried with its untrusted inputs and its outbound tools.</w:t>
            </w:r>
          </w:p>
        </w:tc>
        <w:tc>
          <w:tcPr>
            <w:tcW w:type="dxa" w:w="1440"/>
          </w:tcPr>
          <w:p>
            <w:r>
              <w:rPr>
                <w:color w:val="17141F"/>
                <w:sz w:val="19"/>
              </w:rPr>
            </w:r>
          </w:p>
        </w:tc>
      </w:tr>
      <w:tr>
        <w:tc>
          <w:tcPr>
            <w:tcW w:type="dxa" w:w="576"/>
          </w:tcPr>
          <w:p>
            <w:r>
              <w:rPr>
                <w:b/>
                <w:color w:val="17141F"/>
                <w:sz w:val="19"/>
              </w:rPr>
              <w:t>12</w:t>
            </w:r>
          </w:p>
        </w:tc>
        <w:tc>
          <w:tcPr>
            <w:tcW w:type="dxa" w:w="1872"/>
          </w:tcPr>
          <w:p>
            <w:r>
              <w:rPr>
                <w:color w:val="17141F"/>
                <w:sz w:val="19"/>
              </w:rPr>
              <w:t>Programme</w:t>
            </w:r>
          </w:p>
        </w:tc>
        <w:tc>
          <w:tcPr>
            <w:tcW w:type="dxa" w:w="6336"/>
          </w:tcPr>
          <w:p>
            <w:r>
              <w:rPr>
                <w:color w:val="17141F"/>
                <w:sz w:val="19"/>
              </w:rPr>
              <w:t>You have tests that assert your injection controls in both the governed and ungoverned states.</w:t>
            </w:r>
          </w:p>
        </w:tc>
        <w:tc>
          <w:tcPr>
            <w:tcW w:type="dxa" w:w="1440"/>
          </w:tcPr>
          <w:p>
            <w:r>
              <w:rPr>
                <w:color w:val="17141F"/>
                <w:sz w:val="19"/>
              </w:rPr>
            </w:r>
          </w:p>
        </w:tc>
      </w:tr>
    </w:tbl>
    <w:p>
      <w:pPr>
        <w:spacing w:before="200" w:after="80"/>
      </w:pPr>
      <w:r>
        <w:rPr>
          <w:b/>
          <w:color w:val="17141F"/>
          <w:sz w:val="26"/>
        </w:rPr>
        <w:t>Reading your score</w:t>
      </w:r>
    </w:p>
    <w:p>
      <w:pPr>
        <w:spacing w:after="120"/>
      </w:pPr>
      <w:r>
        <w:rPr>
          <w:color w:val="17141F"/>
          <w:sz w:val="21"/>
        </w:rPr>
        <w:t>0 to 8, exposed. You are relying on the model's good behaviour, and a single crafted payload is likely to get an action it should not. Start with egress containment on your outbound tools and an audit log, because those hold even when the model is fooled.</w:t>
      </w:r>
    </w:p>
    <w:p>
      <w:pPr>
        <w:spacing w:after="120"/>
      </w:pPr>
      <w:r>
        <w:rPr>
          <w:color w:val="17141F"/>
          <w:sz w:val="21"/>
        </w:rPr>
        <w:t>9 to 16, partially layered. You have some defences, most likely the soft ones, but there are open doors. Find the channel with no control, most often retrieved documents or tool output, and close it, then add containment if it is missing.</w:t>
      </w:r>
    </w:p>
    <w:p>
      <w:pPr>
        <w:spacing w:after="120"/>
      </w:pPr>
      <w:r>
        <w:rPr>
          <w:color w:val="17141F"/>
          <w:sz w:val="21"/>
        </w:rPr>
        <w:t>17 to 24, layered. Injection reaching the model is expected and survivable, and every attempt is visible. Keep the test suite that proves it, and reopen the assessment whenever you add an outbound tool.</w:t>
      </w:r>
    </w:p>
    <w:p/>
    <w:p>
      <w:r>
        <w:rPr>
          <w:i/>
          <w:color w:val="6A6478"/>
          <w:sz w:val="17"/>
        </w:rPr>
        <w:t>Voryntel  ·  AI Assurance &amp; Governance  ·  Companion artifact to “Governing Prompt Injection: ISO/IEC 42001 When You Cannot Trust What the Model Reads.”  Editable; adapt to your own system.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7141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