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color w:val="4F46E5"/>
          <w:sz w:val="17"/>
        </w:rPr>
        <w:t>AI GOVERNANCE · ISO/IEC 42001 A.4 / A.6.2.2</w:t>
      </w:r>
    </w:p>
    <w:p>
      <w:pPr>
        <w:spacing w:after="40"/>
      </w:pPr>
      <w:r>
        <w:rPr>
          <w:b/>
          <w:color w:val="17141F"/>
          <w:sz w:val="40"/>
        </w:rPr>
        <w:t>AI System Inventory Entry — Support Assistant</w:t>
      </w:r>
    </w:p>
    <w:p>
      <w:pPr>
        <w:spacing w:after="200"/>
      </w:pPr>
      <w:r>
        <w:rPr>
          <w:i/>
          <w:color w:val="6A6478"/>
          <w:sz w:val="21"/>
        </w:rPr>
        <w:t>AIMS-003. What the system is, what it may do, and what it must never do.</w:t>
      </w:r>
    </w:p>
    <w:tbl>
      <w:tblPr>
        <w:tblStyle w:val="TableGrid"/>
        <w:tblW w:type="auto" w:w="0"/>
        <w:jc w:val="center"/>
        <w:tblLook w:firstColumn="1" w:firstRow="1" w:lastColumn="0" w:lastRow="0" w:noHBand="0" w:noVBand="1" w:val="04A0"/>
      </w:tblPr>
      <w:tblGrid>
        <w:gridCol w:w="4320"/>
        <w:gridCol w:w="4320"/>
      </w:tblGrid>
      <w:tr>
        <w:tc>
          <w:tcPr>
            <w:tcW w:type="dxa" w:w="2304"/>
            <w:shd w:val="clear" w:fill="4F46E5"/>
          </w:tcPr>
          <w:p>
            <w:r>
              <w:rPr>
                <w:b/>
                <w:color w:val="FFFFFF"/>
                <w:sz w:val="19"/>
              </w:rPr>
              <w:t>Field</w:t>
            </w:r>
          </w:p>
        </w:tc>
        <w:tc>
          <w:tcPr>
            <w:tcW w:type="dxa" w:w="7056"/>
            <w:shd w:val="clear" w:fill="4F46E5"/>
          </w:tcPr>
          <w:p>
            <w:r>
              <w:rPr>
                <w:b/>
                <w:color w:val="FFFFFF"/>
                <w:sz w:val="19"/>
              </w:rPr>
              <w:t>Value</w:t>
            </w:r>
          </w:p>
        </w:tc>
      </w:tr>
      <w:tr>
        <w:tc>
          <w:tcPr>
            <w:tcW w:type="dxa" w:w="2304"/>
          </w:tcPr>
          <w:p>
            <w:r>
              <w:rPr>
                <w:b/>
                <w:color w:val="17141F"/>
                <w:sz w:val="19"/>
              </w:rPr>
              <w:t>System ID</w:t>
            </w:r>
          </w:p>
        </w:tc>
        <w:tc>
          <w:tcPr>
            <w:tcW w:type="dxa" w:w="7056"/>
          </w:tcPr>
          <w:p>
            <w:r>
              <w:rPr>
                <w:color w:val="17141F"/>
                <w:sz w:val="19"/>
              </w:rPr>
              <w:t>AIMS-003</w:t>
            </w:r>
          </w:p>
        </w:tc>
      </w:tr>
      <w:tr>
        <w:tc>
          <w:tcPr>
            <w:tcW w:type="dxa" w:w="2304"/>
          </w:tcPr>
          <w:p>
            <w:r>
              <w:rPr>
                <w:b/>
                <w:color w:val="17141F"/>
                <w:sz w:val="19"/>
              </w:rPr>
              <w:t>Name</w:t>
            </w:r>
          </w:p>
        </w:tc>
        <w:tc>
          <w:tcPr>
            <w:tcW w:type="dxa" w:w="7056"/>
          </w:tcPr>
          <w:p>
            <w:r>
              <w:rPr>
                <w:color w:val="17141F"/>
                <w:sz w:val="19"/>
              </w:rPr>
              <w:t>ACME support assistant (prompt-injection lab)</w:t>
            </w:r>
          </w:p>
        </w:tc>
      </w:tr>
      <w:tr>
        <w:tc>
          <w:tcPr>
            <w:tcW w:type="dxa" w:w="2304"/>
          </w:tcPr>
          <w:p>
            <w:r>
              <w:rPr>
                <w:b/>
                <w:color w:val="17141F"/>
                <w:sz w:val="19"/>
              </w:rPr>
              <w:t>Purpose</w:t>
            </w:r>
          </w:p>
        </w:tc>
        <w:tc>
          <w:tcPr>
            <w:tcW w:type="dxa" w:w="7056"/>
          </w:tcPr>
          <w:p>
            <w:r>
              <w:rPr>
                <w:color w:val="17141F"/>
                <w:sz w:val="19"/>
              </w:rPr>
              <w:t>Handle routine order questions using tickets, the knowledge base, and tracking pages</w:t>
            </w:r>
          </w:p>
        </w:tc>
      </w:tr>
      <w:tr>
        <w:tc>
          <w:tcPr>
            <w:tcW w:type="dxa" w:w="2304"/>
          </w:tcPr>
          <w:p>
            <w:r>
              <w:rPr>
                <w:b/>
                <w:color w:val="17141F"/>
                <w:sz w:val="19"/>
              </w:rPr>
              <w:t>Owner</w:t>
            </w:r>
          </w:p>
        </w:tc>
        <w:tc>
          <w:tcPr>
            <w:tcW w:type="dxa" w:w="7056"/>
          </w:tcPr>
          <w:p>
            <w:r>
              <w:rPr>
                <w:color w:val="17141F"/>
                <w:sz w:val="19"/>
              </w:rPr>
              <w:t>Support platform</w:t>
            </w:r>
          </w:p>
        </w:tc>
      </w:tr>
      <w:tr>
        <w:tc>
          <w:tcPr>
            <w:tcW w:type="dxa" w:w="2304"/>
          </w:tcPr>
          <w:p>
            <w:r>
              <w:rPr>
                <w:b/>
                <w:color w:val="17141F"/>
                <w:sz w:val="19"/>
              </w:rPr>
              <w:t>Model</w:t>
            </w:r>
          </w:p>
        </w:tc>
        <w:tc>
          <w:tcPr>
            <w:tcW w:type="dxa" w:w="7056"/>
          </w:tcPr>
          <w:p>
            <w:r>
              <w:rPr>
                <w:color w:val="17141F"/>
                <w:sz w:val="19"/>
              </w:rPr>
              <w:t>Local qwen3:8b via Ollama; production stand-ins for Azure OpenAI and Bedrock</w:t>
            </w:r>
          </w:p>
        </w:tc>
      </w:tr>
      <w:tr>
        <w:tc>
          <w:tcPr>
            <w:tcW w:type="dxa" w:w="2304"/>
          </w:tcPr>
          <w:p>
            <w:r>
              <w:rPr>
                <w:b/>
                <w:color w:val="17141F"/>
                <w:sz w:val="19"/>
              </w:rPr>
              <w:t>Untrusted inputs</w:t>
            </w:r>
          </w:p>
        </w:tc>
        <w:tc>
          <w:tcPr>
            <w:tcW w:type="dxa" w:w="7056"/>
          </w:tcPr>
          <w:p>
            <w:r>
              <w:rPr>
                <w:color w:val="17141F"/>
                <w:sz w:val="19"/>
              </w:rPr>
              <w:t>Customer tickets, retrieved KB articles, fetched web pages</w:t>
            </w:r>
          </w:p>
        </w:tc>
      </w:tr>
      <w:tr>
        <w:tc>
          <w:tcPr>
            <w:tcW w:type="dxa" w:w="2304"/>
          </w:tcPr>
          <w:p>
            <w:r>
              <w:rPr>
                <w:b/>
                <w:color w:val="17141F"/>
                <w:sz w:val="19"/>
              </w:rPr>
              <w:t>Tools</w:t>
            </w:r>
          </w:p>
        </w:tc>
        <w:tc>
          <w:tcPr>
            <w:tcW w:type="dxa" w:w="7056"/>
          </w:tcPr>
          <w:p>
            <w:r>
              <w:rPr>
                <w:color w:val="17141F"/>
                <w:sz w:val="19"/>
              </w:rPr>
              <w:t>lookup_order, search_kb, fetch_url, send_email, issue_refund, close_ticket</w:t>
            </w:r>
          </w:p>
        </w:tc>
      </w:tr>
      <w:tr>
        <w:tc>
          <w:tcPr>
            <w:tcW w:type="dxa" w:w="2304"/>
          </w:tcPr>
          <w:p>
            <w:r>
              <w:rPr>
                <w:b/>
                <w:color w:val="17141F"/>
                <w:sz w:val="19"/>
              </w:rPr>
              <w:t>Outbound tools</w:t>
            </w:r>
          </w:p>
        </w:tc>
        <w:tc>
          <w:tcPr>
            <w:tcW w:type="dxa" w:w="7056"/>
          </w:tcPr>
          <w:p>
            <w:r>
              <w:rPr>
                <w:color w:val="17141F"/>
                <w:sz w:val="19"/>
              </w:rPr>
              <w:t>send_email, issue_refund (the two that reach outside the assistant)</w:t>
            </w:r>
          </w:p>
        </w:tc>
      </w:tr>
    </w:tbl>
    <w:p>
      <w:pPr>
        <w:spacing w:before="200" w:after="80"/>
      </w:pPr>
      <w:r>
        <w:rPr>
          <w:b/>
          <w:color w:val="17141F"/>
          <w:sz w:val="26"/>
        </w:rPr>
        <w:t>Intended use</w:t>
      </w:r>
    </w:p>
    <w:p>
      <w:pPr>
        <w:spacing w:after="120"/>
      </w:pPr>
      <w:r>
        <w:rPr>
          <w:color w:val="17141F"/>
          <w:sz w:val="21"/>
        </w:rPr>
        <w:t>Answer order questions and take only the actions the operator's request and company policy justify. Email is for customer correspondence within acme.corp. Refunds are bounded by an autonomous limit above which a human is required.</w:t>
      </w:r>
    </w:p>
    <w:p>
      <w:pPr>
        <w:spacing w:before="200" w:after="80"/>
      </w:pPr>
      <w:r>
        <w:rPr>
          <w:b/>
          <w:color w:val="17141F"/>
          <w:sz w:val="26"/>
        </w:rPr>
        <w:t>Prohibited actions</w:t>
      </w:r>
    </w:p>
    <w:p>
      <w:pPr>
        <w:spacing w:after="120"/>
      </w:pPr>
      <w:r>
        <w:rPr>
          <w:color w:val="17141F"/>
          <w:sz w:val="21"/>
        </w:rPr>
        <w:t>Emailing account data to any address outside acme.corp. Refunding above the autonomous limit without a human. Treating any instruction found inside a ticket, an article, or a fetched page as a command. These are enforced in tools/actions.py, not left to the model.</w:t>
      </w:r>
    </w:p>
    <w:p/>
    <w:p>
      <w:r>
        <w:rPr>
          <w:i/>
          <w:color w:val="6A6478"/>
          <w:sz w:val="17"/>
        </w:rPr>
        <w:t>Voryntel  ·  AI Assurance &amp; Governance  ·  Companion artifact to “Governing Prompt Injection: ISO/IEC 42001 When You Cannot Trust What the Model Reads.”  Editable; adapt to your own system.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714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