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ai-system-inventory-entry-agent"/>
    <w:p>
      <w:pPr>
        <w:pStyle w:val="Heading1"/>
      </w:pPr>
      <w:r>
        <w:t xml:space="preserve">AI System Inventory Entry (Agent)</w:t>
      </w:r>
    </w:p>
    <w:p>
      <w:pPr>
        <w:pStyle w:val="FirstParagraph"/>
      </w:pPr>
      <w:r>
        <w:t xml:space="preserve">Part of defining your AI management system scope under ISO/IEC 42001 Clause 4.3, supported</w:t>
      </w:r>
      <w:r>
        <w:t xml:space="preserve"> </w:t>
      </w:r>
      <w:r>
        <w:t xml:space="preserve">by A.4.2 resource documentation. For an agent, the entry has one thing a copilot's does</w:t>
      </w:r>
      <w:r>
        <w:t xml:space="preserve"> </w:t>
      </w:r>
      <w:r>
        <w:t xml:space="preserve">not: a per-tool record of whether the action is reversible and how large its blast radius</w:t>
      </w:r>
      <w:r>
        <w:t xml:space="preserve"> </w:t>
      </w:r>
      <w:r>
        <w:t xml:space="preserve">is. That column is what decides which actions need a human.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System ID</w:t>
            </w:r>
          </w:p>
        </w:tc>
        <w:tc>
          <w:tcPr/>
          <w:p>
            <w:pPr>
              <w:pStyle w:val="Compact"/>
            </w:pPr>
            <w:r>
              <w:t xml:space="preserve">AIMS-002</w:t>
            </w:r>
          </w:p>
        </w:tc>
      </w:tr>
      <w:t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ACME Support and Infra Agent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Accountable owner</w:t>
            </w:r>
          </w:p>
        </w:tc>
        <w:tc>
          <w:tcPr/>
          <w:p>
            <w:pPr>
              <w:pStyle w:val="Compact"/>
            </w:pPr>
            <w:r>
              <w:t xml:space="preserve">Director of Customer Operations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Technical owner</w:t>
            </w:r>
          </w:p>
        </w:tc>
        <w:tc>
          <w:tcPr/>
          <w:p>
            <w:pPr>
              <w:pStyle w:val="Compact"/>
            </w:pPr>
            <w:r>
              <w:t xml:space="preserve">Platform Engineering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Lifecycle stage</w:t>
            </w:r>
          </w:p>
        </w:tc>
        <w:tc>
          <w:tcPr/>
          <w:p>
            <w:pPr>
              <w:pStyle w:val="Compact"/>
            </w:pPr>
            <w:r>
              <w:t xml:space="preserve">Operation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Date deployed</w:t>
            </w:r>
          </w:p>
        </w:tc>
        <w:tc>
          <w:tcPr/>
          <w:p>
            <w:pPr>
              <w:pStyle w:val="Compact"/>
            </w:pPr>
            <w:r>
              <w:t xml:space="preserve">2026-06-15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Purpose / intended use</w:t>
            </w:r>
          </w:p>
        </w:tc>
        <w:tc>
          <w:tcPr/>
          <w:p>
            <w:pPr>
              <w:pStyle w:val="Compact"/>
            </w:pPr>
            <w:r>
              <w:t xml:space="preserve">Resolve support tickets and routine infra tasks autonomously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Prohibited use</w:t>
            </w:r>
          </w:p>
        </w:tc>
        <w:tc>
          <w:tcPr/>
          <w:p>
            <w:pPr>
              <w:pStyle w:val="Compact"/>
            </w:pPr>
            <w:r>
              <w:t xml:space="preserve">Any action outside the assigned scope; irreversible actions without approval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Autonomy level</w:t>
            </w:r>
          </w:p>
        </w:tc>
        <w:tc>
          <w:tcPr/>
          <w:p>
            <w:pPr>
              <w:pStyle w:val="Compact"/>
            </w:pPr>
            <w:r>
              <w:t xml:space="preserve">Acts without per-step human review, within controls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Scopes</w:t>
            </w:r>
          </w:p>
        </w:tc>
        <w:tc>
          <w:tcPr/>
          <w:p>
            <w:pPr>
              <w:pStyle w:val="Compact"/>
            </w:pPr>
            <w:r>
              <w:t xml:space="preserve">support (orders, refunds, email), infra (servers)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Data sources</w:t>
            </w:r>
          </w:p>
        </w:tc>
        <w:tc>
          <w:tcPr/>
          <w:p>
            <w:pPr>
              <w:pStyle w:val="Compact"/>
            </w:pPr>
            <w:r>
              <w:t xml:space="preserve">Support tickets (untrusted), orders, server inventory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Data classifications handled</w:t>
            </w:r>
          </w:p>
        </w:tc>
        <w:tc>
          <w:tcPr/>
          <w:p>
            <w:pPr>
              <w:pStyle w:val="Compact"/>
            </w:pPr>
            <w:r>
              <w:t xml:space="preserve">Public, Confidential, Personal Data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Personal data processed?</w:t>
            </w:r>
          </w:p>
        </w:tc>
        <w:tc>
          <w:tcPr/>
          <w:p>
            <w:pPr>
              <w:pStyle w:val="Compact"/>
            </w:pPr>
            <w:r>
              <w:t xml:space="preserve">Yes. Customer records. See DPIA reference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DPIA reference</w:t>
            </w:r>
          </w:p>
        </w:tc>
        <w:tc>
          <w:tcPr/>
          <w:p>
            <w:pPr>
              <w:pStyle w:val="Compact"/>
            </w:pPr>
            <w:r>
              <w:t xml:space="preserve">DPIA-2026-021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Model, production</w:t>
            </w:r>
          </w:p>
        </w:tc>
        <w:tc>
          <w:tcPr/>
          <w:p>
            <w:pPr>
              <w:pStyle w:val="Compact"/>
            </w:pPr>
            <w:r>
              <w:t xml:space="preserve">Azure OpenAI</w:t>
            </w:r>
            <w:r>
              <w:t xml:space="preserve"> </w:t>
            </w:r>
            <w:r>
              <w:rPr>
                <w:rStyle w:val="VerbatimChar"/>
              </w:rPr>
              <w:t xml:space="preserve">gpt-4o</w:t>
            </w:r>
            <w:r>
              <w:t xml:space="preserve">, VPC endpoint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Model, lab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qwen3:8b</w:t>
            </w:r>
            <w:r>
              <w:t xml:space="preserve"> </w:t>
            </w:r>
            <w:r>
              <w:t xml:space="preserve">via Ollama, local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Human oversight</w:t>
            </w:r>
          </w:p>
        </w:tc>
        <w:tc>
          <w:tcPr/>
          <w:p>
            <w:pPr>
              <w:pStyle w:val="Compact"/>
            </w:pPr>
            <w:r>
              <w:t xml:space="preserve">Approval gate on irreversible actions; per-action limits; full action log</w:t>
            </w:r>
          </w:p>
        </w:tc>
      </w:tr>
      <w:tr>
        <w:tc>
          <w:tcPr/>
          <w:p>
            <w:pPr>
              <w:pStyle w:val="Compact"/>
            </w:pPr>
            <w:r>
              <w:t xml:space="preserve">Risk tier</w:t>
            </w:r>
          </w:p>
        </w:tc>
        <w:tc>
          <w:tcPr/>
          <w:p>
            <w:pPr>
              <w:pStyle w:val="Compact"/>
            </w:pPr>
            <w:r>
              <w:t xml:space="preserve">High. Takes irreversible actions and moves money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EU AI Act classification</w:t>
            </w:r>
          </w:p>
        </w:tc>
        <w:tc>
          <w:tcPr/>
          <w:p>
            <w:pPr>
              <w:pStyle w:val="Compact"/>
            </w:pPr>
            <w:r>
              <w:t xml:space="preserve">Limited risk. Confirm per deployment; higher if used for decisions about people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Impact assessment ref</w:t>
            </w:r>
          </w:p>
        </w:tc>
        <w:tc>
          <w:tcPr/>
          <w:p>
            <w:pPr>
              <w:pStyle w:val="Compact"/>
            </w:pPr>
            <w:r>
              <w:t xml:space="preserve">AIMS-002-AIA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Statement of Applicability ref</w:t>
            </w:r>
          </w:p>
        </w:tc>
        <w:tc>
          <w:tcPr/>
          <w:p>
            <w:pPr>
              <w:pStyle w:val="Compact"/>
            </w:pPr>
            <w:r>
              <w:t xml:space="preserve">SoA-002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Verification evidence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tests/</w:t>
            </w:r>
            <w:r>
              <w:t xml:space="preserve"> </w:t>
            </w:r>
            <w:r>
              <w:t xml:space="preserve">suite, mapped to A.6.2.4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Monitoring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actions_log</w:t>
            </w:r>
            <w:r>
              <w:t xml:space="preserve"> </w:t>
            </w:r>
            <w:r>
              <w:t xml:space="preserve">table; review cadence daily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Decommissioning plan</w:t>
            </w:r>
          </w:p>
        </w:tc>
        <w:tc>
          <w:tcPr/>
          <w:p>
            <w:pPr>
              <w:pStyle w:val="Compact"/>
            </w:pPr>
            <w:r>
              <w:t xml:space="preserve">Revoke tool credentials, disable endpoints, archive action log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Last review</w:t>
            </w:r>
          </w:p>
        </w:tc>
        <w:tc>
          <w:tcPr/>
          <w:p>
            <w:pPr>
              <w:pStyle w:val="Compact"/>
            </w:pPr>
            <w:r>
              <w:t xml:space="preserve">2026-07-17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Next review</w:t>
            </w:r>
          </w:p>
        </w:tc>
        <w:tc>
          <w:tcPr/>
          <w:p>
            <w:pPr>
              <w:pStyle w:val="Compact"/>
            </w:pPr>
            <w:r>
              <w:t xml:space="preserve">2026-10-17</w:t>
            </w:r>
          </w:p>
        </w:tc>
      </w:tr>
    </w:tbl>
    <w:bookmarkStart w:id="9" w:name="tools-and-their-blast-radius"/>
    <w:p>
      <w:pPr>
        <w:pStyle w:val="Heading2"/>
      </w:pPr>
      <w:r>
        <w:t xml:space="preserve">Tools and their blast radius</w:t>
      </w:r>
    </w:p>
    <w:p>
      <w:pPr>
        <w:pStyle w:val="FirstParagraph"/>
      </w:pPr>
      <w:r>
        <w:t xml:space="preserve">The core of an agent inventory. Every tool, whether its action can be undone, and the</w:t>
      </w:r>
      <w:r>
        <w:t xml:space="preserve"> </w:t>
      </w:r>
      <w:r>
        <w:t xml:space="preserve">control that governs it.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Tool</w:t>
            </w:r>
          </w:p>
        </w:tc>
        <w:tc>
          <w:tcPr/>
          <w:p>
            <w:pPr>
              <w:pStyle w:val="Compact"/>
            </w:pPr>
            <w:r>
              <w:t xml:space="preserve">Scope</w:t>
            </w:r>
          </w:p>
        </w:tc>
        <w:tc>
          <w:tcPr/>
          <w:p>
            <w:pPr>
              <w:pStyle w:val="Compact"/>
            </w:pPr>
            <w:r>
              <w:t xml:space="preserve">Reversible</w:t>
            </w:r>
          </w:p>
        </w:tc>
        <w:tc>
          <w:tcPr/>
          <w:p>
            <w:pPr>
              <w:pStyle w:val="Compact"/>
            </w:pPr>
            <w:r>
              <w:t xml:space="preserve">Blast radius</w:t>
            </w:r>
          </w:p>
        </w:tc>
        <w:tc>
          <w:tcPr/>
          <w:p>
            <w:pPr>
              <w:pStyle w:val="Compact"/>
            </w:pPr>
            <w:r>
              <w:t xml:space="preserve">Control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lookup_order</w:t>
            </w:r>
          </w:p>
        </w:tc>
        <w:tc>
          <w:tcPr/>
          <w:p>
            <w:pPr>
              <w:pStyle w:val="Compact"/>
            </w:pPr>
            <w:r>
              <w:t xml:space="preserve">support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read only</w:t>
            </w:r>
          </w:p>
        </w:tc>
        <w:tc>
          <w:tcPr/>
          <w:p>
            <w:pPr>
              <w:pStyle w:val="Compact"/>
            </w:pPr>
            <w:r>
              <w:t xml:space="preserve">none needed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issue_refund</w:t>
            </w:r>
          </w:p>
        </w:tc>
        <w:tc>
          <w:tcPr/>
          <w:p>
            <w:pPr>
              <w:pStyle w:val="Compact"/>
            </w:pPr>
            <w:r>
              <w:t xml:space="preserve">support</w:t>
            </w:r>
          </w:p>
        </w:tc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t xml:space="preserve">financial</w:t>
            </w:r>
          </w:p>
        </w:tc>
        <w:tc>
          <w:tcPr/>
          <w:p>
            <w:pPr>
              <w:pStyle w:val="Compact"/>
            </w:pPr>
            <w:r>
              <w:t xml:space="preserve">per-action limit (A1)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send_email</w:t>
            </w:r>
          </w:p>
        </w:tc>
        <w:tc>
          <w:tcPr/>
          <w:p>
            <w:pPr>
              <w:pStyle w:val="Compact"/>
            </w:pPr>
            <w:r>
              <w:t xml:space="preserve">support</w:t>
            </w:r>
          </w:p>
        </w:tc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t xml:space="preserve">data exfiltration</w:t>
            </w:r>
          </w:p>
        </w:tc>
        <w:tc>
          <w:tcPr/>
          <w:p>
            <w:pPr>
              <w:pStyle w:val="Compact"/>
            </w:pPr>
            <w:r>
              <w:t xml:space="preserve">recipient allowlist (A4)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close_ticket</w:t>
            </w:r>
          </w:p>
        </w:tc>
        <w:tc>
          <w:tcPr/>
          <w:p>
            <w:pPr>
              <w:pStyle w:val="Compact"/>
            </w:pPr>
            <w:r>
              <w:t xml:space="preserve">support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  <w:tc>
          <w:tcPr/>
          <w:p>
            <w:pPr>
              <w:pStyle w:val="Compact"/>
            </w:pPr>
            <w:r>
              <w:t xml:space="preserve">none needed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lookup_server</w:t>
            </w:r>
          </w:p>
        </w:tc>
        <w:tc>
          <w:tcPr/>
          <w:p>
            <w:pPr>
              <w:pStyle w:val="Compact"/>
            </w:pPr>
            <w:r>
              <w:t xml:space="preserve">infra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read only</w:t>
            </w:r>
          </w:p>
        </w:tc>
        <w:tc>
          <w:tcPr/>
          <w:p>
            <w:pPr>
              <w:pStyle w:val="Compact"/>
            </w:pPr>
            <w:r>
              <w:t xml:space="preserve">none needed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restart_server</w:t>
            </w:r>
          </w:p>
        </w:tc>
        <w:tc>
          <w:tcPr/>
          <w:p>
            <w:pPr>
              <w:pStyle w:val="Compact"/>
            </w:pPr>
            <w:r>
              <w:t xml:space="preserve">infra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operational</w:t>
            </w:r>
          </w:p>
        </w:tc>
        <w:tc>
          <w:tcPr/>
          <w:p>
            <w:pPr>
              <w:pStyle w:val="Compact"/>
            </w:pPr>
            <w:r>
              <w:t xml:space="preserve">logged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deprovision_server</w:t>
            </w:r>
          </w:p>
        </w:tc>
        <w:tc>
          <w:tcPr/>
          <w:p>
            <w:pPr>
              <w:pStyle w:val="Compact"/>
            </w:pPr>
            <w:r>
              <w:t xml:space="preserve">infra</w:t>
            </w:r>
          </w:p>
        </w:tc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t xml:space="preserve">destructive</w:t>
            </w:r>
          </w:p>
        </w:tc>
        <w:tc>
          <w:tcPr/>
          <w:p>
            <w:pPr>
              <w:pStyle w:val="Compact"/>
            </w:pPr>
            <w:r>
              <w:t xml:space="preserve">human approval (A3)</w:t>
            </w:r>
          </w:p>
        </w:tc>
      </w:tr>
    </w:tbl>
    <w:p>
      <w:pPr>
        <w:pStyle w:val="BodyText"/>
      </w:pPr>
      <w:r>
        <w:t xml:space="preserve">Update this entry on any change to the tool set, the scopes, the model, or the autonomy</w:t>
      </w:r>
      <w:r>
        <w:t xml:space="preserve"> </w:t>
      </w:r>
      <w:r>
        <w:t xml:space="preserve">level. Adding a tool means re-running the impact assessment.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2026-07-18T00:06:50Z</dcterms:created>
  <dcterms:modified xsi:type="dcterms:W3CDTF">2026-07-18T00:06:50Z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